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2026-10-28 och omfattar 415,0 ha.</w:t>
      </w:r>
    </w:p>
    <w:p>
      <w:pPr>
        <w:pStyle w:val="Caption"/>
      </w:pPr>
      <w:r>
        <w:drawing>
          <wp:inline xmlns:a="http://schemas.openxmlformats.org/drawingml/2006/main" xmlns:pic="http://schemas.openxmlformats.org/drawingml/2006/picture">
            <wp:extent cx="497236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23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160 naturvårdsarter, varav 85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160 naturvårdsarter varav 85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