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2026-10-28 och omfattar 159,7 ha.</w:t>
      </w:r>
    </w:p>
    <w:p>
      <w:pPr>
        <w:pStyle w:val="Caption"/>
      </w:pPr>
      <w:r>
        <w:drawing>
          <wp:inline xmlns:a="http://schemas.openxmlformats.org/drawingml/2006/main" xmlns:pic="http://schemas.openxmlformats.org/drawingml/2006/picture">
            <wp:extent cx="5486400" cy="4399531"/>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3995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115 naturvårdsarter, varav 60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115 naturvårdsarter varav 60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