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2026-10-28 och omfattar 128,0 ha.</w:t>
      </w:r>
    </w:p>
    <w:p>
      <w:pPr>
        <w:pStyle w:val="Caption"/>
      </w:pPr>
      <w:r>
        <w:drawing>
          <wp:inline xmlns:a="http://schemas.openxmlformats.org/drawingml/2006/main" xmlns:pic="http://schemas.openxmlformats.org/drawingml/2006/picture">
            <wp:extent cx="504326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0432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52 naturvårdsarter, varav 30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Phellodon aquiloniniger (NT),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