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2026-10-28 och omfattar 280,8 ha.</w:t>
      </w:r>
    </w:p>
    <w:p>
      <w:pPr>
        <w:pStyle w:val="Caption"/>
      </w:pPr>
      <w:r>
        <w:drawing>
          <wp:inline xmlns:a="http://schemas.openxmlformats.org/drawingml/2006/main" xmlns:pic="http://schemas.openxmlformats.org/drawingml/2006/picture">
            <wp:extent cx="5486400" cy="5210994"/>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2109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