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2026-10-28 och omfattar 237,7 ha.</w:t>
      </w:r>
    </w:p>
    <w:p>
      <w:pPr>
        <w:pStyle w:val="Caption"/>
      </w:pPr>
      <w:r>
        <w:drawing>
          <wp:inline xmlns:a="http://schemas.openxmlformats.org/drawingml/2006/main" xmlns:pic="http://schemas.openxmlformats.org/drawingml/2006/picture">
            <wp:extent cx="5486400" cy="4236388"/>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363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74 naturvårdsarter, varav 39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Phellodon aquiloniniger (NT),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74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