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2026-10-28 och omfattar 159,7 ha.</w:t>
      </w:r>
    </w:p>
    <w:p>
      <w:pPr>
        <w:pStyle w:val="Caption"/>
      </w:pPr>
      <w:r>
        <w:drawing>
          <wp:inline xmlns:a="http://schemas.openxmlformats.org/drawingml/2006/main" xmlns:pic="http://schemas.openxmlformats.org/drawingml/2006/picture">
            <wp:extent cx="5486400" cy="4399531"/>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995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