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2026-09-20 och omfattar 194,4 ha.</w:t>
      </w:r>
    </w:p>
    <w:p>
      <w:pPr>
        <w:pStyle w:val="Caption"/>
      </w:pPr>
      <w:r>
        <w:drawing>
          <wp:inline xmlns:a="http://schemas.openxmlformats.org/drawingml/2006/main" xmlns:pic="http://schemas.openxmlformats.org/drawingml/2006/picture">
            <wp:extent cx="5486400" cy="4525996"/>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259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