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2026-08-14 och omfattar 237,7 ha.</w:t>
      </w:r>
    </w:p>
    <w:p>
      <w:pPr>
        <w:pStyle w:val="Caption"/>
      </w:pPr>
      <w:r>
        <w:drawing>
          <wp:inline xmlns:a="http://schemas.openxmlformats.org/drawingml/2006/main" xmlns:pic="http://schemas.openxmlformats.org/drawingml/2006/picture">
            <wp:extent cx="5486400" cy="4580542"/>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80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