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2026-09-10 och omfattar 159,7 ha.</w:t>
      </w:r>
    </w:p>
    <w:p>
      <w:pPr>
        <w:pStyle w:val="Caption"/>
      </w:pPr>
      <w:r>
        <w:drawing>
          <wp:inline xmlns:a="http://schemas.openxmlformats.org/drawingml/2006/main" xmlns:pic="http://schemas.openxmlformats.org/drawingml/2006/picture">
            <wp:extent cx="5486400" cy="4577993"/>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5779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101 naturvårdsarter, varav 56 är rödlistade, 32 är fridlysta, 45 är typiska (T) och 25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tofsmes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101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