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2026-09-10 och omfattar 159,7 ha.</w:t>
      </w:r>
    </w:p>
    <w:p>
      <w:pPr>
        <w:pStyle w:val="Caption"/>
      </w:pPr>
      <w:r>
        <w:drawing>
          <wp:inline xmlns:a="http://schemas.openxmlformats.org/drawingml/2006/main" xmlns:pic="http://schemas.openxmlformats.org/drawingml/2006/picture">
            <wp:extent cx="5486400" cy="4577993"/>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779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fällmossa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