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2026-09-10 och omfattar 185,8 ha.</w:t>
      </w:r>
    </w:p>
    <w:p>
      <w:pPr>
        <w:pStyle w:val="Caption"/>
      </w:pPr>
      <w:r>
        <w:drawing>
          <wp:inline xmlns:a="http://schemas.openxmlformats.org/drawingml/2006/main" xmlns:pic="http://schemas.openxmlformats.org/drawingml/2006/picture">
            <wp:extent cx="3986760"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39867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