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Ramsjöns naturreservat i Haninge kommun</w:t>
      </w:r>
    </w:p>
    <w:p>
      <w:r>
        <w:t>Detta klagomål behandlar höga naturvärden i avverkningsanmälan Ramsjöns naturreservat i Haninge kommun som inkom 2026-10-18 och omfattar 280,8 ha.</w:t>
      </w:r>
    </w:p>
    <w:p>
      <w:pPr>
        <w:pStyle w:val="Caption"/>
      </w:pPr>
      <w:r>
        <w:drawing>
          <wp:inline xmlns:a="http://schemas.openxmlformats.org/drawingml/2006/main" xmlns:pic="http://schemas.openxmlformats.org/drawingml/2006/picture">
            <wp:extent cx="5486400" cy="5210845"/>
            <wp:docPr id="1" name="Picture 1"/>
            <wp:cNvGraphicFramePr>
              <a:graphicFrameLocks noChangeAspect="1"/>
            </wp:cNvGraphicFramePr>
            <a:graphic>
              <a:graphicData uri="http://schemas.openxmlformats.org/drawingml/2006/picture">
                <pic:pic>
                  <pic:nvPicPr>
                    <pic:cNvPr id="0" name="Ramsjöns naturreservat karta.png"/>
                    <pic:cNvPicPr/>
                  </pic:nvPicPr>
                  <pic:blipFill>
                    <a:blip r:embed="rId16"/>
                    <a:stretch>
                      <a:fillRect/>
                    </a:stretch>
                  </pic:blipFill>
                  <pic:spPr>
                    <a:xfrm>
                      <a:off x="0" y="0"/>
                      <a:ext cx="5486400" cy="52108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6564645, E 682709 i SWEREF 99 TM.</w:t>
      </w:r>
    </w:p>
    <w:p>
      <w:r>
        <w:t>I och inom 25 meter från avverkningsanmälan finns fynd av 156 naturvårdsarter, varav 78 är rödlistade, 40 är fridlysta, 64 är typiska (T) och 46 är signalarter (S): klätt (EN), koppartaggsvamp (EN), skogsalm (EN), almdyna (VU), blackticka (VU), bredbrämad bastardsvärmare (VU), daggvide (VU), garnlav (VU, T), goliatmusseron (VU, T), gränsticka (VU, T), grönfink (VU, §4), knärot (VU, T, §8), lakritsmusseron (VU, T), mindre bastardsvärmare (VU), mjölkörtsspinnare (VU), ostticka (VU, T), plattsäv (VU), Ramaria ossolana (VU), rotfingersvamp (VU), skuggmalmätare (VU), solfingersvamp (VU), tallgråticka (VU), tornseglare (VU, §4), ulltickeporing (VU), ängsblåvinge (VU), almkrämskinn (NT), apelsinticka (NT), blekticka (NT, T), drillsnäppa (NT, §4), dropptaggsvamp (NT, T), dunmossa (NT, T), flikbålmossa (NT), fyrflikig jordstjärna (NT, T), gransotdyna (NT), grantaggsvamp (NT), griffelblomfluga (NT), gropticka (NT, T), grynig filtlav (NT, T), grönsångare (NT, §4), gulbrämad flugsvamp (NT), jungfrulin (NT), kandelabersvamp (NT, T), klofibbla (NT), kricka (NT, §4), kötticka (NT), mindre hackspett (NT, T, §4), mindre purpurmätare (NT), motaggsvamp (NT, T), orange taggsvamp (NT, T), parkhättemossa (NT), Phellodon aquiloniniger (NT), rosenticka (NT, T), rutskinn (NT, T), rynkskinn (NT, T), silltrut (NT, §4), skarp dropptaggsvamp (NT), slåtterfibbla (NT, T), stubbtrådmossa (NT), svart taggsvamp (NT), svartvit taggsvamp (NT), svartöra (NT, T), svinrot (NT), sädesärla (NT, §4), talltagel (NT, T), tallticka (NT, T), talltita (NT, §4), tjockfotad fingersvamp (NT), ullticka (NT, T), vaddporing (NT), vedskivlav (NT, T), vedtrappmossa (NT, T), vintertagging (NT), violettgrå tagellav (NT, T), väddblomfluga (NT), vågticka (NT), vårtordyvel (NT), älg (NT), åkerrödtoppa (NT), alsopp (S), björksplintborre (S), blodticka (S, T), blomkålssvamp (S), blåmossa (S, T), blåsfliksmossa (S, T), brandticka (S), bronshjon (S, T), dvärgtufs (S), flagellkvastmossa (S, T), fällmossa (S, T), granbarkgnagare (S, T), grovticka (S, T), grön sköldmossa (S, T, §8), grönpyrola (S, T), guldlockmossa (S, T), gullgröppa (S), hasselticka (S, T), jordstjärnesläktet (S), jättesvampmal (S), kornknutmossa (S, T), kragjordstjärna (S), lundbräsma (S), mindre märgborre (S, T), myskbock (S), mörk husmossa (S, T), nästlav (S, T), rostfläck (S, T), rävticka (S, T), rödgul trumpetsvamp (S), scharlakansvårskål agg. (S), skogsbräsma (S), skogsknipprot (S, T, §8), stenporella (S, T), stor aspticka (S, T), strutbräken (S, T), stubbspretmossa (S, T), större aspvedbock (S), svart trolldruva (S, T), tibast (S, T), trådticka (S, T), vedticka (S, T), västlig hakmossa (S), vätteros (S, T), vågbandad barkbock (S), zontaggsvamp (S), blåsippa (T, §9), brudborste (T), glansfläck (T), krushättemossa (T), källgräsmossa (T), mattlummer (T, §9), spillkråka (T, §4), stjärtmes (T, §4), tjäder (T, §4), bred kärrtrollslända (§4a), citronfläckad kärrtrollslända (§4a), fiskgjuse (§4), fiskmås (§4), grön mosaikslända (§4a), gröngöling (§4), grönsiska (§4), havsörn (§4), kråka (§4), kungsfågel (§4), svartvit flugsnappare (§4), sångsvan (§4), trana (§4), åkergroda (§4a), huggorm (§6), kopparödla (§6), skogsödla (§6), vanlig padda (§6), vanlig snok (§6), fläcknycklar (§8), nattviol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Almdyna (VU)</w:t>
      </w:r>
      <w:r>
        <w:t xml:space="preserve"> är en nedbrytare i barklösa grova lågor av alm, sällsynt även av andra lövträdslag, i ädellövskog och andra ädellövrika miljöer. Arten missgynnas av att ädellövskog avverkas och att arealen skyddad ädellövskog är alltför liten. Kända växtplatser måste skyddas. Almdyna är globalt rödlistad som nära hotad (NT) vilket innebär att Sverige har ett internationellt ansvar för arten (IUCN, 2025; SLU Artdatabanken, 2024).</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7727698"/>
            <wp:docPr id="2" name="Picture 2"/>
            <wp:cNvGraphicFramePr>
              <a:graphicFrameLocks noChangeAspect="1"/>
            </wp:cNvGraphicFramePr>
            <a:graphic>
              <a:graphicData uri="http://schemas.openxmlformats.org/drawingml/2006/picture">
                <pic:pic>
                  <pic:nvPicPr>
                    <pic:cNvPr id="0" name="Ramsjöns naturreservat karta knärot.png"/>
                    <pic:cNvPicPr/>
                  </pic:nvPicPr>
                  <pic:blipFill>
                    <a:blip r:embed="rId17"/>
                    <a:stretch>
                      <a:fillRect/>
                    </a:stretch>
                  </pic:blipFill>
                  <pic:spPr>
                    <a:xfrm>
                      <a:off x="0" y="0"/>
                      <a:ext cx="5486400" cy="7727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6564645, E 682709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i/>
        </w:rPr>
        <w:t xml:space="preserve">Ramaria ossolana </w:t>
      </w:r>
      <w:r>
        <w:rPr>
          <w:b/>
        </w:rPr>
        <w:t>(VU)</w:t>
      </w:r>
      <w:r>
        <w:t xml:space="preserve"> är en korallfingersvamp som bildar mykorrhiza med gran, eventuellt även med tall, i äldre kalkbarrskog. En nybeskriven art (2020) som fortfarande är relativt dåligt känd, och som förefaller knuten till kalkbarrskog med lång skoglig kontinuitet.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Almkrämskinn (NT)</w:t>
      </w:r>
      <w:r>
        <w:t xml:space="preserve"> växer på omkullfallna, multnande stammar eller grenar av lövträd men också på kvarsittande döda grenar. Hos oss har de flesta fynden gjorts på almved och arten är karakteristisk för rika almskogar. Växtplatserna är ofta fuktiga, t.ex. bäckraviner. Arten hotas av minskande tillgång på död lövved av grövre dimensioner. Artens växtplater bör skyddas och lövskog med stort inslag av äldre träd och med gott om lågor bör generellt undantas från skogsbruk. Bäckraviner i sediment med ädellövskog bör lämnas orörda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Griffelblomfluga (NT) </w:t>
      </w:r>
      <w:r>
        <w:t>förekommer i gamla lövskogar med död ved av bok och ek. I Sverige utvecklas den numera dock troligen främst i asp. Arten hotas av att äldre aspar och andra lövträd avverkas i skogs- och parkmiljöer (SLU Artdatabanken, 2025).</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Gulbrämad flugsvamp (NT)</w:t>
      </w:r>
      <w:r>
        <w:t xml:space="preserve"> bildar mykorrhiza med lövträd, helst ek (ibland bok) på lerig kalkrik mark. Påträffas huvudsakligen i hagmarker, lövängar och ädellövskog. Arten hotas då växtplatserna omvandlas till granskog eller växer igen som en följd av minskat bete eller annan upphörande hävd. Arten hotas också av olämpliga avverkningsmetoder som inte tar hänsyn till att värdträd bör sparas. För att på sikt klara artens överlevnad måste större arealer med trädbärande, kulturskapade ekosystemen bevaras och hävdas på lämpligt sätt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Parkhättemossa (NT) </w:t>
      </w:r>
      <w:r>
        <w:t>växer på lövträdsbark i halvöppna till öppna lövmarker, t.ex. i parker, skogsbryn, alléer eller jordbrukslandskapet. Den återfinns främst på rikbarksträd, t.ex. alm, ask, asp och lönn, men även på apel och fläder. Avverkning av gamla alléer, lövträd på åkerholmar, samt decimeringen av almen och asken i södra Sverige genom almsjukan respektive askskottsjukan utgör betydande hot. Lämpliga värdträd måste sparas och inte huggas ned även om almsjukan och askskottsjukan ser ut att öka. Äldre alléer bör sparas i större omfattning och dessutom nyskapas (SLU Artdatabanken, 2026).</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Källgräsmossa</w:t>
      </w:r>
      <w:r>
        <w:t xml:space="preserve"> är typisk art för </w:t>
      </w:r>
      <w:r>
        <w:rPr>
          <w:i/>
        </w:rPr>
        <w:t xml:space="preserve">7160 Källor och källkärr, 9750 Svämlövskog </w:t>
      </w:r>
      <w:r>
        <w:t>och</w:t>
      </w:r>
      <w:r>
        <w:rPr>
          <w:i/>
        </w:rPr>
        <w:t xml:space="preserve"> 9080 Lövsumpskog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124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156 naturvårdsarter varav 78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