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2026-10-18 och omfattar 194,4 ha.</w:t>
      </w:r>
    </w:p>
    <w:p>
      <w:pPr>
        <w:pStyle w:val="Caption"/>
      </w:pPr>
      <w:r>
        <w:drawing>
          <wp:inline xmlns:a="http://schemas.openxmlformats.org/drawingml/2006/main" xmlns:pic="http://schemas.openxmlformats.org/drawingml/2006/picture">
            <wp:extent cx="5486400" cy="4349646"/>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496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132 naturvårdsarter, varav 68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