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2026-08-17 och omfattar 450,6 ha.</w:t>
      </w:r>
    </w:p>
    <w:p>
      <w:pPr>
        <w:pStyle w:val="Caption"/>
      </w:pPr>
      <w:r>
        <w:drawing>
          <wp:inline xmlns:a="http://schemas.openxmlformats.org/drawingml/2006/main" xmlns:pic="http://schemas.openxmlformats.org/drawingml/2006/picture">
            <wp:extent cx="5486400" cy="4419257"/>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192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