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2026-09-14 och omfattar 159,7 ha.</w:t>
      </w:r>
    </w:p>
    <w:p>
      <w:pPr>
        <w:pStyle w:val="Caption"/>
      </w:pPr>
      <w:r>
        <w:drawing>
          <wp:inline xmlns:a="http://schemas.openxmlformats.org/drawingml/2006/main" xmlns:pic="http://schemas.openxmlformats.org/drawingml/2006/picture">
            <wp:extent cx="5486400" cy="4572702"/>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5727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101 naturvårdsarter, varav 56 är rödlistade, 32 är fridlysta, 45 är typiska (T) och 25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tofsmes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101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