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2026-09-14 och omfattar 159,7 ha.</w:t>
      </w:r>
    </w:p>
    <w:p>
      <w:pPr>
        <w:pStyle w:val="Caption"/>
      </w:pPr>
      <w:r>
        <w:drawing>
          <wp:inline xmlns:a="http://schemas.openxmlformats.org/drawingml/2006/main" xmlns:pic="http://schemas.openxmlformats.org/drawingml/2006/picture">
            <wp:extent cx="5486400" cy="4572702"/>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727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