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2026-08-21 och omfattar 128,0 ha.</w:t>
      </w:r>
    </w:p>
    <w:p>
      <w:pPr>
        <w:pStyle w:val="Caption"/>
      </w:pPr>
      <w:r>
        <w:drawing>
          <wp:inline xmlns:a="http://schemas.openxmlformats.org/drawingml/2006/main" xmlns:pic="http://schemas.openxmlformats.org/drawingml/2006/picture">
            <wp:extent cx="4781369"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81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