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2026-08-08 och omfattar 194,4 ha.</w:t>
      </w:r>
    </w:p>
    <w:p>
      <w:pPr>
        <w:pStyle w:val="Caption"/>
      </w:pPr>
      <w:r>
        <w:drawing>
          <wp:inline xmlns:a="http://schemas.openxmlformats.org/drawingml/2006/main" xmlns:pic="http://schemas.openxmlformats.org/drawingml/2006/picture">
            <wp:extent cx="5486400" cy="474753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75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6563055, E 687118 i SWEREF 99 TM.</w:t>
      </w:r>
    </w:p>
    <w:p>
      <w:r>
        <w:t>I och inom 25 meter från avverkningsanmälan finns fynd av 118 naturvårdsarter, varav 65 är rödlistade, 34 är fridlysta, 51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118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