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2026-08-27 och omfattar 194,4 ha.</w:t>
      </w:r>
    </w:p>
    <w:p>
      <w:pPr>
        <w:pStyle w:val="Caption"/>
      </w:pPr>
      <w:r>
        <w:drawing>
          <wp:inline xmlns:a="http://schemas.openxmlformats.org/drawingml/2006/main" xmlns:pic="http://schemas.openxmlformats.org/drawingml/2006/picture">
            <wp:extent cx="5486400" cy="4733761"/>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33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