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2026-08-27 och omfattar 237,7 ha.</w:t>
      </w:r>
    </w:p>
    <w:p>
      <w:pPr>
        <w:pStyle w:val="Caption"/>
      </w:pPr>
      <w:r>
        <w:drawing>
          <wp:inline xmlns:a="http://schemas.openxmlformats.org/drawingml/2006/main" xmlns:pic="http://schemas.openxmlformats.org/drawingml/2006/picture">
            <wp:extent cx="5486400" cy="4567140"/>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71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