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2026-09-25 och omfattar 280,8 ha.</w:t>
      </w:r>
    </w:p>
    <w:p>
      <w:pPr>
        <w:pStyle w:val="Caption"/>
      </w:pPr>
      <w:r>
        <w:drawing>
          <wp:inline xmlns:a="http://schemas.openxmlformats.org/drawingml/2006/main" xmlns:pic="http://schemas.openxmlformats.org/drawingml/2006/picture">
            <wp:extent cx="5486400" cy="5185147"/>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5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