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2026-10-16 och omfattar 415,0 ha.</w:t>
      </w:r>
    </w:p>
    <w:p>
      <w:pPr>
        <w:pStyle w:val="Caption"/>
      </w:pPr>
      <w:r>
        <w:drawing>
          <wp:inline xmlns:a="http://schemas.openxmlformats.org/drawingml/2006/main" xmlns:pic="http://schemas.openxmlformats.org/drawingml/2006/picture">
            <wp:extent cx="4989162"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159 naturvårdsarter, varav 84 är rödlistade, 42 är fridlysta, 70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stjärtmes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159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