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2026-10-16 och omfattar 194,4 ha.</w:t>
      </w:r>
    </w:p>
    <w:p>
      <w:pPr>
        <w:pStyle w:val="Caption"/>
      </w:pPr>
      <w:r>
        <w:drawing>
          <wp:inline xmlns:a="http://schemas.openxmlformats.org/drawingml/2006/main" xmlns:pic="http://schemas.openxmlformats.org/drawingml/2006/picture">
            <wp:extent cx="5486400" cy="4349961"/>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3499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132 naturvårdsarter, varav 68 är rödlistade, 42 är fridlysta, 58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Porodaedalea chrysoloma (DD),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blåsippa (T, §9), ekbräken (T), hultbräken (T),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132 naturvårdsarter varav 68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