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2026-09-06 och omfattar 194,4 ha.</w:t>
      </w:r>
    </w:p>
    <w:p>
      <w:pPr>
        <w:pStyle w:val="Caption"/>
      </w:pPr>
      <w:r>
        <w:drawing>
          <wp:inline xmlns:a="http://schemas.openxmlformats.org/drawingml/2006/main" xmlns:pic="http://schemas.openxmlformats.org/drawingml/2006/picture">
            <wp:extent cx="5486400" cy="4750815"/>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508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