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2026-09-06 och omfattar 159,7 ha.</w:t>
      </w:r>
    </w:p>
    <w:p>
      <w:pPr>
        <w:pStyle w:val="Caption"/>
      </w:pPr>
      <w:r>
        <w:drawing>
          <wp:inline xmlns:a="http://schemas.openxmlformats.org/drawingml/2006/main" xmlns:pic="http://schemas.openxmlformats.org/drawingml/2006/picture">
            <wp:extent cx="5486400" cy="4601114"/>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011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101 naturvårdsarter, varav 56 är rödlistade, 32 är fridlysta, 45 är typiska (T) och 25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tofsmes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fällmossa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