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2026-10-10 och omfattar 237,7 ha.</w:t>
      </w:r>
    </w:p>
    <w:p>
      <w:pPr>
        <w:pStyle w:val="Caption"/>
      </w:pPr>
      <w:r>
        <w:drawing>
          <wp:inline xmlns:a="http://schemas.openxmlformats.org/drawingml/2006/main" xmlns:pic="http://schemas.openxmlformats.org/drawingml/2006/picture">
            <wp:extent cx="5486400" cy="4290559"/>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905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