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2026-10-10 och omfattar 159,7 ha.</w:t>
      </w:r>
    </w:p>
    <w:p>
      <w:pPr>
        <w:pStyle w:val="Caption"/>
      </w:pPr>
      <w:r>
        <w:drawing>
          <wp:inline xmlns:a="http://schemas.openxmlformats.org/drawingml/2006/main" xmlns:pic="http://schemas.openxmlformats.org/drawingml/2006/picture">
            <wp:extent cx="5486400" cy="4422710"/>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4227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113 naturvårdsarter, varav 59 är rödlistade, 39 är fridlysta, 50 är typiska (T) och 27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skarp dropptaggsvamp (NT), skogsklocka (NT), svartvit taggsvamp (NT), tallfingersvamp (NT), tallkötticka (NT), talltagel (NT, T), tallticka (NT, T), talltita (NT, §4), tjockfotad fingersvamp (NT), ullticka (NT, T), vaddporing (NT), vedskivlav (NT, T), vedtrappmossa (NT, T), vintertagging (NT), vågticka (NT), björksplintborre (S), blodticka (S, T), blomkålssvamp (S), blåmossa (S, T), brandticka (S), bronshjon (S, T), flagellkvastmossa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blåsippa (T, §9), hultbräken (T), krushättemossa (T), linnea (T), mattlummer (T, §9), nattskärra (T, §4), spillkråka (T, §4), tallört (aggregat) (T), tjäder (T, §4), tofsmes (T, §4), dvärgpipistrell (§4a), gröngöling (§4), havsörn (§4), större brunfladdermus (§4a), trana (§4), trollpipistrell (§4a), törnskata (§4), vattenfladdermus (§4a),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blodticka (S, T), blåmossa (S, T), bronshjon (S, T), flagellkvastmossa (S, T), fällmossa (S, T), granbarkgnagare (S, T), grovticka (S, T), grön sköldmossa (S, T, §8), grönpyrola (S, T), korallrot (S, T, §8), mindre märgborre (S, T), nästlav (S, T), plattlummer (S, T, §9), rostfläck (S, T), spindelblomster (S, T, §8), stubbspretmossa (S, T), trådticka (S, T), vedticka (S, T), blåsippa (T, §9), hultbräken (T), krushättemossa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