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10023-2023 i Härjedalens kommun</w:t>
      </w:r>
    </w:p>
    <w:p>
      <w:r>
        <w:t>Detta dokument behandlar höga naturvärden i avverkningsamälan A 10023-2023 i Härjedalens kommun. Denna avverkningsanmälan inkom 2023-02-22 och omfattar 12,6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6 naturvårdsarter hittats: spindelblomster (S, §8), vanlig groda (§6), fläcknycklar (§8), lopplummer (§9), mattlummer (§9) och revlummer (§9).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51648"/>
            <wp:docPr id="1" name="Picture 1"/>
            <wp:cNvGraphicFramePr>
              <a:graphicFrameLocks noChangeAspect="1"/>
            </wp:cNvGraphicFramePr>
            <a:graphic>
              <a:graphicData uri="http://schemas.openxmlformats.org/drawingml/2006/picture">
                <pic:pic>
                  <pic:nvPicPr>
                    <pic:cNvPr id="0" name="A 10023-2023.png"/>
                    <pic:cNvPicPr/>
                  </pic:nvPicPr>
                  <pic:blipFill>
                    <a:blip r:embed="rId16"/>
                    <a:stretch>
                      <a:fillRect/>
                    </a:stretch>
                  </pic:blipFill>
                  <pic:spPr>
                    <a:xfrm>
                      <a:off x="0" y="0"/>
                      <a:ext cx="5486400" cy="51516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6945611, E 369367 i SWEREF 99 TM.</w:t>
      </w:r>
    </w:p>
    <w:p>
      <w:pPr>
        <w:pStyle w:val="Heading1"/>
      </w:pPr>
      <w:r>
        <w:t>Fridlysta arter</w:t>
      </w:r>
    </w:p>
    <w:p>
      <w:r>
        <w:t xml:space="preserve">Följande fridlysta arter har sina livsmiljöer och växtplatser i den avverkningsanmälda skogen: </w:t>
      </w:r>
    </w:p>
    <w:p>
      <w:pPr>
        <w:pStyle w:val="ListBullet"/>
      </w:pPr>
      <w:r>
        <w:t>Spindelblomster (S, §8)</w:t>
      </w:r>
    </w:p>
    <w:p>
      <w:pPr>
        <w:pStyle w:val="ListBullet"/>
      </w:pPr>
      <w:r>
        <w:t>Vanlig groda (§6)</w:t>
      </w:r>
    </w:p>
    <w:p>
      <w:pPr>
        <w:pStyle w:val="ListBullet"/>
      </w:pPr>
      <w:r>
        <w:t>Fläcknycklar (§8)</w:t>
      </w:r>
    </w:p>
    <w:p>
      <w:pPr>
        <w:pStyle w:val="ListBullet"/>
      </w:pPr>
      <w:r>
        <w:t>Lopplummer (§9)</w:t>
      </w:r>
    </w:p>
    <w:p>
      <w:pPr>
        <w:pStyle w:val="ListBullet"/>
      </w:pPr>
      <w:r>
        <w:t>Mattlummer (§9)</w:t>
      </w:r>
    </w:p>
    <w:p>
      <w:pPr>
        <w:pStyle w:val="ListBullet"/>
      </w:pPr>
      <w:r>
        <w:t>Revlummer (§9)</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