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53008-2019 i Helsingborgs kommun</w:t>
      </w:r>
    </w:p>
    <w:p>
      <w:r>
        <w:t>Detta dokument behandlar höga naturvärden i avverkningsamälan A 53008-2019 i Helsingborgs kommun. Denna avverkningsanmälan inkom 2019-10-09 och omfattar 31,7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w:t>
      </w:r>
    </w:p>
    <w:p>
      <w:pPr>
        <w:pStyle w:val="Heading1"/>
      </w:pPr>
      <w:r>
        <w:t>Naturvårdsarter</w:t>
      </w:r>
    </w:p>
    <w:p>
      <w:r>
        <w:t>I avverkningsanmälan har följande 53 naturvårdsarter hittats: skogsalm (CR), ask (EN), blåsvart brunbagge (EN), gråtrut (VU, §4), skillerticka (VU), bokvårtlav (NT), dvärgklokrypare (NT), dvärgstumpbagge (NT), fyrfläckad vedsvampbagge (NT), getinglik svampmygga (NT), gråbandad trägnagare (NT), gulsparv (NT, §4), havsörn (NT, §4), hålskenknäppare (NT), kråka (NT, §4), matt pricklav (NT), orangepudrad klotterlav (NT), Plectophloeus nubigena (NT), skogsveronika (NT), skånebjörnbär (NT), stiftklotterlav (NT), Synchita variegata (NT), Trinodes hirtus (NT), tvåfärgad barksvartbagge (NT), vasstandad trädbasbagge (NT), violettgrå porlav (NT), blanksvart trämyra (S), blåmossa (S), grå skärelav (S), guldlockmossa (S), gulnål (S), havstulpanlav (S), hässleklocka (S), lundvårlök (S), noshornsoxe (S), platt fjädermossa (S), robust tickgnagare (S), skogsbräsma (S), skuggsprötmossa (S), stor häxört (S), stubbspretmossa (S), trubbfjädermossa (S), tvåblad (S, §8), västlig hakmossa (S), dvärgpipistrell (§4a), större brunfladdermus (§4a), åkergroda (§4a), vanlig groda (§6), vanlig padda (§6), getlav (§8), grönvit nattviol (§8), sankt pers nycklar (§8) och blåsippa (§9). Av dessa är 26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612087"/>
            <wp:docPr id="1" name="Picture 1"/>
            <wp:cNvGraphicFramePr>
              <a:graphicFrameLocks noChangeAspect="1"/>
            </wp:cNvGraphicFramePr>
            <a:graphic>
              <a:graphicData uri="http://schemas.openxmlformats.org/drawingml/2006/picture">
                <pic:pic>
                  <pic:nvPicPr>
                    <pic:cNvPr id="0" name="A 53008-2019.png"/>
                    <pic:cNvPicPr/>
                  </pic:nvPicPr>
                  <pic:blipFill>
                    <a:blip r:embed="rId16"/>
                    <a:stretch>
                      <a:fillRect/>
                    </a:stretch>
                  </pic:blipFill>
                  <pic:spPr>
                    <a:xfrm>
                      <a:off x="0" y="0"/>
                      <a:ext cx="5486400" cy="361208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6224861, E 359634 i SWEREF 99 TM.</w:t>
      </w:r>
    </w:p>
    <w:p>
      <w:pPr>
        <w:pStyle w:val="Heading1"/>
      </w:pPr>
      <w:r>
        <w:t>Fridlysta arter</w:t>
      </w:r>
    </w:p>
    <w:p>
      <w:r>
        <w:t xml:space="preserve">Följande fridlysta arter har sina livsmiljöer och växtplatser i den avverkningsanmälda skogen: </w:t>
      </w:r>
    </w:p>
    <w:p>
      <w:pPr>
        <w:pStyle w:val="ListBullet"/>
      </w:pPr>
      <w:r>
        <w:t>Gråtrut (VU, §4)</w:t>
      </w:r>
    </w:p>
    <w:p>
      <w:pPr>
        <w:pStyle w:val="ListBullet"/>
      </w:pPr>
      <w:r>
        <w:t>Gulsparv (NT, §4)</w:t>
      </w:r>
    </w:p>
    <w:p>
      <w:pPr>
        <w:pStyle w:val="ListBullet"/>
      </w:pPr>
      <w:r>
        <w:t>Havsörn (NT, §4)</w:t>
      </w:r>
    </w:p>
    <w:p>
      <w:pPr>
        <w:pStyle w:val="ListBullet"/>
      </w:pPr>
      <w:r>
        <w:t>Kråka (NT, §4)</w:t>
      </w:r>
    </w:p>
    <w:p>
      <w:pPr>
        <w:pStyle w:val="ListBullet"/>
      </w:pPr>
      <w:r>
        <w:t>Tvåblad (S, §8)</w:t>
      </w:r>
    </w:p>
    <w:p>
      <w:pPr>
        <w:pStyle w:val="ListBullet"/>
      </w:pPr>
      <w:r>
        <w:t>Dvärgpipistrell (§4a)</w:t>
      </w:r>
    </w:p>
    <w:p>
      <w:pPr>
        <w:pStyle w:val="ListBullet"/>
      </w:pPr>
      <w:r>
        <w:t>Större brunfladdermus (§4a)</w:t>
      </w:r>
    </w:p>
    <w:p>
      <w:pPr>
        <w:pStyle w:val="ListBullet"/>
      </w:pPr>
      <w:r>
        <w:t>Åkergroda (§4a)</w:t>
      </w:r>
    </w:p>
    <w:p>
      <w:pPr>
        <w:pStyle w:val="ListBullet"/>
      </w:pPr>
      <w:r>
        <w:t>Vanlig groda (§6)</w:t>
      </w:r>
    </w:p>
    <w:p>
      <w:pPr>
        <w:pStyle w:val="ListBullet"/>
      </w:pPr>
      <w:r>
        <w:t>Vanlig padda (§6)</w:t>
      </w:r>
    </w:p>
    <w:p>
      <w:pPr>
        <w:pStyle w:val="ListBullet"/>
      </w:pPr>
      <w:r>
        <w:t>Getlav (§8)</w:t>
      </w:r>
    </w:p>
    <w:p>
      <w:pPr>
        <w:pStyle w:val="ListBullet"/>
      </w:pPr>
      <w:r>
        <w:t>Grönvit nattviol (§8)</w:t>
      </w:r>
    </w:p>
    <w:p>
      <w:pPr>
        <w:pStyle w:val="ListBullet"/>
      </w:pPr>
      <w:r>
        <w:t>Sankt pers nycklar (§8)</w:t>
      </w:r>
    </w:p>
    <w:p>
      <w:pPr>
        <w:pStyle w:val="ListBullet"/>
      </w:pPr>
      <w:r>
        <w:t>Blåsippa (§9)</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2023-10-04</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