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32759-2021 i Jokkmokks kommun</w:t>
      </w:r>
    </w:p>
    <w:p>
      <w:r>
        <w:t>Detta dokument behandlar höga naturvärden i avverkningsamälan A 32759-2021 i Jokkmokks kommun. Denna avverkningsanmälan inkom 2021-06-28 och omfattar 100,0 ha.</w:t>
      </w:r>
    </w:p>
    <w:p>
      <w:r>
        <w:t>Nedan presenteras fynd av naturvårdsarter och fridlysta arter som gjorts i det avverkningsanmälda området, samt relevanta utdrag ur standarderna för FSC, Chain of Custody, Controlled Wood och PEFC.</w:t>
      </w:r>
    </w:p>
    <w:p>
      <w:pPr>
        <w:pStyle w:val="Heading1"/>
      </w:pPr>
      <w:r>
        <w:t>Naturvårdsarter</w:t>
      </w:r>
    </w:p>
    <w:p>
      <w:r>
        <w:t>I avverkningsanmälan har följande 30 naturvårdsarter hittats: liten sotlav (VU), blå taggsvamp (NT), blågrå svartspik (NT), brunpudrad nållav (NT), dvärgbägarlav (NT), gammelgransskål (NT), granticka (NT), knottrig blåslav (NT), kolflarnlav (NT), mörk kolflarnlav (NT), orange taggsvamp (NT), reliktbock (NT), skogsfru (NT, §8), skrovellav (NT), spillkråka (NT, §4), vaddporing (NT), vedflamlav (NT), vedskivlav (NT), vedtrappmossa (NT), violettgrå tagellav (NT), vitgrynig nållav (NT), vitplätt (NT), dropptaggsvamp (S), luddlav (S), norrlandslav (S), nästlav (S), skinnlav (S), stuplav (S), vedticka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7403"/>
            <wp:docPr id="1" name="Picture 1"/>
            <wp:cNvGraphicFramePr>
              <a:graphicFrameLocks noChangeAspect="1"/>
            </wp:cNvGraphicFramePr>
            <a:graphic>
              <a:graphicData uri="http://schemas.openxmlformats.org/drawingml/2006/picture">
                <pic:pic>
                  <pic:nvPicPr>
                    <pic:cNvPr id="0" name="A 32759-2021.png"/>
                    <pic:cNvPicPr/>
                  </pic:nvPicPr>
                  <pic:blipFill>
                    <a:blip r:embed="rId16"/>
                    <a:stretch>
                      <a:fillRect/>
                    </a:stretch>
                  </pic:blipFill>
                  <pic:spPr>
                    <a:xfrm>
                      <a:off x="0" y="0"/>
                      <a:ext cx="5486400" cy="3707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7411149, E 694649 i SWEREF 99 TM.</w:t>
      </w:r>
    </w:p>
    <w:p>
      <w:pPr>
        <w:pStyle w:val="Heading1"/>
      </w:pPr>
      <w:r>
        <w:t>Fridlysta arter</w:t>
      </w:r>
    </w:p>
    <w:p>
      <w:r>
        <w:t xml:space="preserve">Följande fridlysta arter har sina livsmiljöer och växtplatser i den avverkningsanmälda skogen: </w:t>
      </w:r>
    </w:p>
    <w:p>
      <w:pPr>
        <w:pStyle w:val="ListBullet"/>
      </w:pPr>
      <w:r>
        <w:t>Skogsfru (NT, §8)</w:t>
      </w:r>
    </w:p>
    <w:p>
      <w:pPr>
        <w:pStyle w:val="ListBullet"/>
      </w:pPr>
      <w:r>
        <w:t>Spillkråka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Övriga statliga verk och myndigheter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