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63780-2020 i Karlshamns kommun</w:t>
      </w:r>
    </w:p>
    <w:p>
      <w:r>
        <w:t>Detta dokument behandlar höga naturvärden i avverkningsamälan A 63780-2020 i Karlshamns kommun. Denna avverkningsanmälan inkom 2020-12-01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sandödla (VU, §4a), grönhjon (NT), grönsångare (NT, §4), mindre hackspett (NT, §4), stiftklotterlav (NT), svartvit flugsnappare (NT, §4), vippärt (NT), ekoxe (S, §6), fällmossa (S), guldlockmossa (S), platt fjädermossa (S) och sankt pers 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6378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6229804, E 503285 i SWEREF 99 TM.</w:t>
      </w:r>
    </w:p>
    <w:p>
      <w:pPr>
        <w:pStyle w:val="Heading1"/>
      </w:pPr>
      <w:r>
        <w:t>Fridlysta arter</w:t>
      </w:r>
    </w:p>
    <w:p>
      <w:r>
        <w:t xml:space="preserve">Följande fridlysta arter har sina livsmiljöer och växtplatser i den avverkningsanmälda skogen: </w:t>
      </w:r>
    </w:p>
    <w:p>
      <w:pPr>
        <w:pStyle w:val="ListBullet"/>
      </w:pPr>
      <w:r>
        <w:t>Sandödla (VU, §4a)</w:t>
      </w:r>
    </w:p>
    <w:p>
      <w:pPr>
        <w:pStyle w:val="ListBullet"/>
      </w:pPr>
      <w:r>
        <w:t>Grönsångare (NT, §4)</w:t>
      </w:r>
    </w:p>
    <w:p>
      <w:pPr>
        <w:pStyle w:val="ListBullet"/>
      </w:pPr>
      <w:r>
        <w:t>Mindre hackspett (NT, §4)</w:t>
      </w:r>
    </w:p>
    <w:p>
      <w:pPr>
        <w:pStyle w:val="ListBullet"/>
      </w:pPr>
      <w:r>
        <w:t>Svartvit flugsnappare (NT, §4)</w:t>
      </w:r>
    </w:p>
    <w:p>
      <w:pPr>
        <w:pStyle w:val="ListBullet"/>
      </w:pPr>
      <w:r>
        <w:t>Ekoxe (S, §6)</w:t>
      </w:r>
    </w:p>
    <w:p>
      <w:pPr>
        <w:pStyle w:val="ListBullet"/>
      </w:pPr>
      <w:r>
        <w:t>Sankt pers 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