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FSC- /PEFC-klagomål - information om höga naturvärden och fridlysta arter i avverkningsanmälan A 14815-2023 i Karlstads kommun</w:t>
      </w:r>
    </w:p>
    <w:p>
      <w:r>
        <w:t>Detta dokument behandlar höga naturvärden i avverkningsamälan A 14815-2023 i Karlstads kommun. Denna avverkningsanmälan inkom 2023-03-29 och omfattar 5,4 ha.</w:t>
      </w:r>
    </w:p>
    <w:p>
      <w:r>
        <w:t>Nedan presenteras fynd av naturvårdsarter och fridlysta arter som gjorts i det avverkningsanmälda området, samt relevanta utdrag ur standarderna för FSC, Chain of Custody, Controlled Wood och PEFC. I BILAGA 1 finns artfakta om fridlysta arter.</w:t>
      </w:r>
    </w:p>
    <w:p>
      <w:pPr>
        <w:pStyle w:val="Heading1"/>
      </w:pPr>
      <w:r>
        <w:t>Naturvårdsarter</w:t>
      </w:r>
    </w:p>
    <w:p>
      <w:r>
        <w:t>I avverkningsanmälan har följande 3 naturvårdsarter hittats: vaddporing (NT), rödgul trumpetsvamp (S) och vågbandad barkbock (S). Av dessa är 1 rödlistade. För rödlistade arter har rödlistekategorin angivits inom parentes. Arter som är signalarter enligt Skogsstyrelsen har markerats med (S).</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162590"/>
            <wp:docPr id="1" name="Picture 1"/>
            <wp:cNvGraphicFramePr>
              <a:graphicFrameLocks noChangeAspect="1"/>
            </wp:cNvGraphicFramePr>
            <a:graphic>
              <a:graphicData uri="http://schemas.openxmlformats.org/drawingml/2006/picture">
                <pic:pic>
                  <pic:nvPicPr>
                    <pic:cNvPr id="0" name="A 14815-2023.png"/>
                    <pic:cNvPicPr/>
                  </pic:nvPicPr>
                  <pic:blipFill>
                    <a:blip r:embed="rId16"/>
                    <a:stretch>
                      <a:fillRect/>
                    </a:stretch>
                  </pic:blipFill>
                  <pic:spPr>
                    <a:xfrm>
                      <a:off x="0" y="0"/>
                      <a:ext cx="5486400" cy="416259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6587122, E 416462 i SWEREF 99 TM.</w:t>
      </w:r>
    </w:p>
    <w:p>
      <w:pPr>
        <w:pStyle w:val="Heading1"/>
      </w:pPr>
      <w:r>
        <w:t>Fridlysta arter</w:t>
      </w:r>
    </w:p>
    <w:p>
      <w:r>
        <w:t xml:space="preserve">Följande fridlysta arter har sina livsmiljöer och växtplatser i den avverkningsanmälda skogen: </w:t>
      </w:r>
    </w:p>
    <w:p>
      <w:r>
        <w:t>I det avverkningsanmälda området finns 0 fyndplatser för knärot registrerade på Artportalen. För att knärotslokaler inte ska försvinna vid avverkning krävs att en buffertzon på 50 m lämnas kring samtliga fyndplatser. Figur 2 visar gränserna för dessa buffertzoner.</w:t>
      </w:r>
    </w:p>
    <w:p>
      <w:pPr>
        <w:pStyle w:val="Caption"/>
      </w:pPr>
      <w:r>
        <w:drawing>
          <wp:inline xmlns:a="http://schemas.openxmlformats.org/drawingml/2006/main" xmlns:pic="http://schemas.openxmlformats.org/drawingml/2006/picture">
            <wp:extent cx="5486400" cy="5000560"/>
            <wp:docPr id="2" name="Picture 2"/>
            <wp:cNvGraphicFramePr>
              <a:graphicFrameLocks noChangeAspect="1"/>
            </wp:cNvGraphicFramePr>
            <a:graphic>
              <a:graphicData uri="http://schemas.openxmlformats.org/drawingml/2006/picture">
                <pic:pic>
                  <pic:nvPicPr>
                    <pic:cNvPr id="0" name="A 14815-2023.png"/>
                    <pic:cNvPicPr/>
                  </pic:nvPicPr>
                  <pic:blipFill>
                    <a:blip r:embed="rId17"/>
                    <a:stretch>
                      <a:fillRect/>
                    </a:stretch>
                  </pic:blipFill>
                  <pic:spPr>
                    <a:xfrm>
                      <a:off x="0" y="0"/>
                      <a:ext cx="5486400" cy="5000560"/>
                    </a:xfrm>
                    <a:prstGeom prst="rect"/>
                  </pic:spPr>
                </pic:pic>
              </a:graphicData>
            </a:graphic>
          </wp:inline>
        </w:drawing>
      </w:r>
    </w:p>
    <w:p>
      <w:pPr>
        <w:pStyle w:val="Caption"/>
      </w:pPr>
      <w:r>
        <w:t>Figur 2. Fyndplatser och buffertzoner för knärot i det avverkningsanmälda området. Endast fyndplaster vars buffertzoner överlappar med det avverkningsanmälda området har tagits med i visualiseringen. Kartans mittpunktskoordinat är N 6587122, E 416462 i SWEREF 99 TM.</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 xml:space="preserve">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 </w:t>
      </w:r>
    </w:p>
    <w:p>
      <w:pPr>
        <w:pStyle w:val="ListBullet"/>
      </w:pPr>
      <w:r>
        <w:rPr>
          <w:b/>
          <w:i/>
        </w:rPr>
        <w:t xml:space="preserve">Kommentar: </w:t>
      </w:r>
      <w:r>
        <w:rPr>
          <w:i/>
        </w:rPr>
        <w:t>I det avverkningsanmälda skogsområdet har naturvårdsarter och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2023-09-01</w:t>
      <w:br/>
      <w:br/>
    </w:r>
    <w:r>
      <w:t>Till: Kommuner</w:t>
      <w:br/>
    </w:r>
    <w:r>
      <w:t>Kopia: DNV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 Id="rId17" Type="http://schemas.openxmlformats.org/officeDocument/2006/relationships/image" Target="media/image2.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