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30202-2023 i Kristinehamns kommun</w:t>
      </w:r>
    </w:p>
    <w:p>
      <w:r>
        <w:t>Detta dokument behandlar höga naturvärden i avverkningsamälan A 30202-2023 i Kristinehamns kommun. Denna avverkningsanmälan inkom 2023-07-03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glimmerört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02-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6579509, E 452210 i SWEREF 99 TM.</w:t>
      </w:r>
    </w:p>
    <w:p>
      <w:pPr>
        <w:pStyle w:val="Heading1"/>
      </w:pPr>
      <w:r>
        <w:t>Fridlysta arter</w:t>
      </w:r>
    </w:p>
    <w:p>
      <w:r>
        <w:t xml:space="preserve">Följande fridlysta arter har sina livsmiljöer och växtplatser i den avverkningsanmälda skogen: </w:t>
      </w:r>
    </w:p>
    <w:p>
      <w:pPr>
        <w:pStyle w:val="ListBullet"/>
      </w:pPr>
      <w:r>
        <w:t>Glimmerört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