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377-2019 i Krokom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