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33968-2020 i Mora kommun</w:t>
      </w:r>
    </w:p>
    <w:p>
      <w:r>
        <w:t>Detta dokument behandlar höga naturvärden i avverkningsamälan A 33968-2020 i Mora kommun. Denna avverkningsanmälan inkom 2020-07-16 och omfattar 0,5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76471"/>
            <wp:docPr id="1" name="Picture 1"/>
            <wp:cNvGraphicFramePr>
              <a:graphicFrameLocks noChangeAspect="1"/>
            </wp:cNvGraphicFramePr>
            <a:graphic>
              <a:graphicData uri="http://schemas.openxmlformats.org/drawingml/2006/picture">
                <pic:pic>
                  <pic:nvPicPr>
                    <pic:cNvPr id="0" name="A 33968-2020.png"/>
                    <pic:cNvPicPr/>
                  </pic:nvPicPr>
                  <pic:blipFill>
                    <a:blip r:embed="rId16"/>
                    <a:stretch>
                      <a:fillRect/>
                    </a:stretch>
                  </pic:blipFill>
                  <pic:spPr>
                    <a:xfrm>
                      <a:off x="0" y="0"/>
                      <a:ext cx="5486400" cy="497647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6766959, E 471011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pPr>
        <w:pStyle w:val="ListBullet"/>
      </w:pPr>
      <w:r>
        <w:rPr>
          <w:b/>
          <w:i/>
        </w:rPr>
        <w:t xml:space="preserve">Kommentar: </w:t>
      </w:r>
      <w:r>
        <w:rPr>
          <w:i/>
        </w:rPr>
        <w:t xml:space="preserve">EU:s medlemsländer och skogsbolag är skyldiga att agera i enlighet med EU:s fågeldirektiv där det uttryckligen står att direktivet gäller för fåglar samt för deras ägg, bon och </w:t>
      </w:r>
      <w:r>
        <w:rPr>
          <w:b/>
          <w:i/>
        </w:rPr>
        <w:t xml:space="preserve">livsmiljöer </w:t>
      </w:r>
      <w:r>
        <w:t xml:space="preserve">(artikel 1). Vidare att de åtgärder som vidtas inte får leda till en försämring av den nuvarande situationen beträffande bevarandet av de fågelarter som avses i artikel 1 (artikel 13). </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