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avverkningsamälan A 38039-2022 i Mörbylånga kommun. Denna avverkningsanmälan inkom 2022-09-07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3860"/>
            <wp:docPr id="1" name="Picture 1"/>
            <wp:cNvGraphicFramePr>
              <a:graphicFrameLocks noChangeAspect="1"/>
            </wp:cNvGraphicFramePr>
            <a:graphic>
              <a:graphicData uri="http://schemas.openxmlformats.org/drawingml/2006/picture">
                <pic:pic>
                  <pic:nvPicPr>
                    <pic:cNvPr id="0" name="A 38039-2022.png"/>
                    <pic:cNvPicPr/>
                  </pic:nvPicPr>
                  <pic:blipFill>
                    <a:blip r:embed="rId16"/>
                    <a:stretch>
                      <a:fillRect/>
                    </a:stretch>
                  </pic:blipFill>
                  <pic:spPr>
                    <a:xfrm>
                      <a:off x="0" y="0"/>
                      <a:ext cx="5486400" cy="2753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 xml:space="preserve">Följande fridlysta arter har sina livsmiljöer och växtplatser i den avverkningsanmälda skogen: </w:t>
      </w:r>
    </w:p>
    <w:p>
      <w:pPr>
        <w:pStyle w:val="ListBullet"/>
      </w:pPr>
      <w:r>
        <w:t>Alvarmalört (§7)</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