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2979-2023 i Östersunds kommun</w:t>
      </w:r>
    </w:p>
    <w:p>
      <w:r>
        <w:t>Detta dokument behandlar höga naturvärden i avverkningsamälan A 2979-2023 i Östersunds kommun. Denna avverkningsanmälan inkom 2023-01-19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garnlav (NT), granticka (NT), lunglav (NT), skogsfru (NT, §8), spillkråka (NT, §4), talltita (NT, §4), tretåig hackspett (NT, §4), luddlav (S), spindelblomster (S, §8), stuplav (S), mattlummer (§9)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4488"/>
            <wp:docPr id="1" name="Picture 1"/>
            <wp:cNvGraphicFramePr>
              <a:graphicFrameLocks noChangeAspect="1"/>
            </wp:cNvGraphicFramePr>
            <a:graphic>
              <a:graphicData uri="http://schemas.openxmlformats.org/drawingml/2006/picture">
                <pic:pic>
                  <pic:nvPicPr>
                    <pic:cNvPr id="0" name="A 2979-2023.png"/>
                    <pic:cNvPicPr/>
                  </pic:nvPicPr>
                  <pic:blipFill>
                    <a:blip r:embed="rId16"/>
                    <a:stretch>
                      <a:fillRect/>
                    </a:stretch>
                  </pic:blipFill>
                  <pic:spPr>
                    <a:xfrm>
                      <a:off x="0" y="0"/>
                      <a:ext cx="5486400" cy="3144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7015171, E 492180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Skogsfru (NT, §8)</w:t>
      </w:r>
    </w:p>
    <w:p>
      <w:pPr>
        <w:pStyle w:val="ListBullet"/>
      </w:pPr>
      <w:r>
        <w:t>Spillkråka (NT, §4)</w:t>
      </w:r>
    </w:p>
    <w:p>
      <w:pPr>
        <w:pStyle w:val="ListBullet"/>
      </w:pPr>
      <w:r>
        <w:t>Talltita (NT, §4)</w:t>
      </w:r>
    </w:p>
    <w:p>
      <w:pPr>
        <w:pStyle w:val="ListBullet"/>
      </w:pPr>
      <w:r>
        <w:t>Tretåig hackspett (NT, §4)</w:t>
      </w:r>
    </w:p>
    <w:p>
      <w:pPr>
        <w:pStyle w:val="ListBullet"/>
      </w:pPr>
      <w:r>
        <w:t>Spindelblomster (S, §8)</w:t>
      </w:r>
    </w:p>
    <w:p>
      <w:pPr>
        <w:pStyle w:val="ListBullet"/>
      </w:pPr>
      <w:r>
        <w:t>Mattlummer (§9)</w:t>
      </w:r>
    </w:p>
    <w:p>
      <w:pPr>
        <w:pStyle w:val="ListBullet"/>
      </w:pPr>
      <w:r>
        <w:t>Revlummer (§9)</w:t>
      </w:r>
    </w:p>
    <w:p>
      <w:r>
        <w:t>I det avverkningsanmälda området finns 18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99501"/>
            <wp:docPr id="2" name="Picture 2"/>
            <wp:cNvGraphicFramePr>
              <a:graphicFrameLocks noChangeAspect="1"/>
            </wp:cNvGraphicFramePr>
            <a:graphic>
              <a:graphicData uri="http://schemas.openxmlformats.org/drawingml/2006/picture">
                <pic:pic>
                  <pic:nvPicPr>
                    <pic:cNvPr id="0" name="A 2979-2023.png"/>
                    <pic:cNvPicPr/>
                  </pic:nvPicPr>
                  <pic:blipFill>
                    <a:blip r:embed="rId17"/>
                    <a:stretch>
                      <a:fillRect/>
                    </a:stretch>
                  </pic:blipFill>
                  <pic:spPr>
                    <a:xfrm>
                      <a:off x="0" y="0"/>
                      <a:ext cx="5486400" cy="359950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7015171, E 492180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