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67457-2019 i Östersunds kommun</w:t>
      </w:r>
    </w:p>
    <w:p>
      <w:r>
        <w:t>Detta dokument behandlar höga naturvärden i avverkningsamälan A 67457-2019 i Östersunds kommun. Denna avverkningsanmälan inkom 2019-12-14 och omfattar 8,3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16 naturvårdsarter hittats: bitter taggsvamp (VU), rynkskinn (VU), grantaggsvamp (NT), harticka (NT), lunglav (NT), rödbrun klubbdyna (NT), svartvit taggsvamp (NT), tallriska (NT), talltita (NT, §4), dropptaggsvamp (S), finbräken (S), grönpyrola (S), guckusko (S, §7), skarp dropptaggsvamp (S), tvåblad (S, §8) och fläcknycklar (§8). Av dessa är 9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16559"/>
            <wp:docPr id="1" name="Picture 1"/>
            <wp:cNvGraphicFramePr>
              <a:graphicFrameLocks noChangeAspect="1"/>
            </wp:cNvGraphicFramePr>
            <a:graphic>
              <a:graphicData uri="http://schemas.openxmlformats.org/drawingml/2006/picture">
                <pic:pic>
                  <pic:nvPicPr>
                    <pic:cNvPr id="0" name="A 67457-2019.png"/>
                    <pic:cNvPicPr/>
                  </pic:nvPicPr>
                  <pic:blipFill>
                    <a:blip r:embed="rId16"/>
                    <a:stretch>
                      <a:fillRect/>
                    </a:stretch>
                  </pic:blipFill>
                  <pic:spPr>
                    <a:xfrm>
                      <a:off x="0" y="0"/>
                      <a:ext cx="5486400" cy="421655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7018831, E 504998 i SWEREF 99 TM.</w:t>
      </w:r>
    </w:p>
    <w:p>
      <w:pPr>
        <w:pStyle w:val="Heading1"/>
      </w:pPr>
      <w:r>
        <w:t>Fridlysta arter</w:t>
      </w:r>
    </w:p>
    <w:p>
      <w:r>
        <w:t xml:space="preserve">Följande fridlysta arter har sina livsmiljöer och växtplatser i den avverkningsanmälda skogen: </w:t>
      </w:r>
    </w:p>
    <w:p>
      <w:pPr>
        <w:pStyle w:val="ListBullet"/>
      </w:pPr>
      <w:r>
        <w:t>Talltita (NT, §4)</w:t>
      </w:r>
    </w:p>
    <w:p>
      <w:pPr>
        <w:pStyle w:val="ListBullet"/>
      </w:pPr>
      <w:r>
        <w:t>Guckusko (S, §7)</w:t>
      </w:r>
    </w:p>
    <w:p>
      <w:pPr>
        <w:pStyle w:val="ListBullet"/>
      </w:pPr>
      <w:r>
        <w:t>Tvåblad (S, §8)</w:t>
      </w:r>
    </w:p>
    <w:p>
      <w:pPr>
        <w:pStyle w:val="ListBullet"/>
      </w:pPr>
      <w:r>
        <w:t>Fläcknycklar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Talltita – ekologi samt krav på livsmiljön</w:t>
      </w:r>
    </w:p>
    <w:p>
      <w:r>
        <w:t xml:space="preserve">Talltita är rödlistad som NT, fridlyst och prioriterad art i Skogsvårdslagen. Den omfattas av EU:s fågeldirektiv. Arten har minskat kraftigt de senaste 30 åren och minskningstakten innevarande 10-årsperiod beräknas till 20 (10-30) % (SLU Artdatabanken, 2022). </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 xml:space="preserve">For. Ecol. Manage. 319, 169–175. </w:t>
      </w:r>
    </w:p>
    <w:p>
      <w:r>
        <w:t xml:space="preserve">Ekman, J., 1979. </w:t>
      </w:r>
      <w:r>
        <w:rPr>
          <w:i/>
        </w:rPr>
        <w:t xml:space="preserve">Coherence, composition and territories of winter social groups of the Willow Tit Parus montanus and the Crested Tit P. cristatus. </w:t>
      </w:r>
      <w:r>
        <w:t xml:space="preserve">Ornis Scandinavica, 10, pp 56-68 </w:t>
      </w:r>
    </w:p>
    <w:p>
      <w:r>
        <w:t xml:space="preserve">Griesser, M., Nystrand, M., Eggers, S., Ekman, J., 2007. </w:t>
      </w:r>
      <w:r>
        <w:rPr>
          <w:i/>
        </w:rPr>
        <w:t xml:space="preserve">Impact of forestry practices on fitness correlates and population productivity in an open-nesting bird species. </w:t>
      </w:r>
      <w:r>
        <w:t xml:space="preserve">Conserv. Biol. 21, 767–774. https://doi.org/10.1111/j.1523- 1739.2007.00675.x </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