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21840-2023 i Övertorneå kommun</w:t>
      </w:r>
    </w:p>
    <w:p>
      <w:r>
        <w:t>Detta dokument behandlar höga naturvärden i avverkningsamälan A 21840-2023 i Övertorneå kommun. Denna avverkningsanmälan inkom 2023-05-22 och omfattar 30,5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13 naturvårdsarter hittats: doftticka (VU, §8), knärot (VU, §8), garnlav (NT), spillkråka (NT, §4), talltita (NT, §4), ullticka (NT), bårdlav (S), norrlandslav (S), plattlummer (S, §9), spindelblomster (S, §8), stuplav (S), fläcknycklar (§8) och revlummer (§9). Av dessa är 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673373"/>
            <wp:docPr id="1" name="Picture 1"/>
            <wp:cNvGraphicFramePr>
              <a:graphicFrameLocks noChangeAspect="1"/>
            </wp:cNvGraphicFramePr>
            <a:graphic>
              <a:graphicData uri="http://schemas.openxmlformats.org/drawingml/2006/picture">
                <pic:pic>
                  <pic:nvPicPr>
                    <pic:cNvPr id="0" name="A 21840-2023.png"/>
                    <pic:cNvPicPr/>
                  </pic:nvPicPr>
                  <pic:blipFill>
                    <a:blip r:embed="rId16"/>
                    <a:stretch>
                      <a:fillRect/>
                    </a:stretch>
                  </pic:blipFill>
                  <pic:spPr>
                    <a:xfrm>
                      <a:off x="0" y="0"/>
                      <a:ext cx="5486400" cy="267337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7401775, E 872297 i SWEREF 99 TM.</w:t>
      </w:r>
    </w:p>
    <w:p>
      <w:pPr>
        <w:pStyle w:val="Heading1"/>
      </w:pPr>
      <w:r>
        <w:t>Fridlysta arter</w:t>
      </w:r>
    </w:p>
    <w:p>
      <w:r>
        <w:t xml:space="preserve">Följande fridlysta arter har sina livsmiljöer och växtplatser i den avverkningsanmälda skogen: </w:t>
      </w:r>
    </w:p>
    <w:p>
      <w:pPr>
        <w:pStyle w:val="ListBullet"/>
      </w:pPr>
      <w:r>
        <w:t>Doftticka (VU, §8)</w:t>
      </w:r>
    </w:p>
    <w:p>
      <w:pPr>
        <w:pStyle w:val="ListBullet"/>
      </w:pPr>
      <w:r>
        <w:t>Knärot (VU, §8)</w:t>
      </w:r>
    </w:p>
    <w:p>
      <w:pPr>
        <w:pStyle w:val="ListBullet"/>
      </w:pPr>
      <w:r>
        <w:t>Spillkråka (NT, §4)</w:t>
      </w:r>
    </w:p>
    <w:p>
      <w:pPr>
        <w:pStyle w:val="ListBullet"/>
      </w:pPr>
      <w:r>
        <w:t>Talltita (NT, §4)</w:t>
      </w:r>
    </w:p>
    <w:p>
      <w:pPr>
        <w:pStyle w:val="ListBullet"/>
      </w:pPr>
      <w:r>
        <w:t>Plattlummer (S, §9)</w:t>
      </w:r>
    </w:p>
    <w:p>
      <w:pPr>
        <w:pStyle w:val="ListBullet"/>
      </w:pPr>
      <w:r>
        <w:t>Spindelblomster (S, §8)</w:t>
      </w:r>
    </w:p>
    <w:p>
      <w:pPr>
        <w:pStyle w:val="ListBullet"/>
      </w:pPr>
      <w:r>
        <w:t>Fläcknycklar (§8)</w:t>
      </w:r>
    </w:p>
    <w:p>
      <w:pPr>
        <w:pStyle w:val="ListBullet"/>
      </w:pPr>
      <w:r>
        <w:t>Revlummer (§9)</w:t>
      </w:r>
    </w:p>
    <w:p>
      <w:r>
        <w:t>I det avverkningsanmälda området finns 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2982202"/>
            <wp:docPr id="2" name="Picture 2"/>
            <wp:cNvGraphicFramePr>
              <a:graphicFrameLocks noChangeAspect="1"/>
            </wp:cNvGraphicFramePr>
            <a:graphic>
              <a:graphicData uri="http://schemas.openxmlformats.org/drawingml/2006/picture">
                <pic:pic>
                  <pic:nvPicPr>
                    <pic:cNvPr id="0" name="A 21840-2023.png"/>
                    <pic:cNvPicPr/>
                  </pic:nvPicPr>
                  <pic:blipFill>
                    <a:blip r:embed="rId17"/>
                    <a:stretch>
                      <a:fillRect/>
                    </a:stretch>
                  </pic:blipFill>
                  <pic:spPr>
                    <a:xfrm>
                      <a:off x="0" y="0"/>
                      <a:ext cx="5486400" cy="2982202"/>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7401775, E 872297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2023-09-03</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