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12330-2023 i Storumans kommun</w:t>
      </w:r>
    </w:p>
    <w:p>
      <w:r>
        <w:t>Detta dokument behandlar höga naturvärden i avverkningsamälan A 12330-2023 i Storumans kommun. Denna avverkningsanmälan inkom 2023-03-10 och omfattar 315,1 ha.</w:t>
      </w:r>
    </w:p>
    <w:p>
      <w:r>
        <w:t>Nedan presenteras fynd av naturvårdsarter som gjorts i det avverkningsanmälda området, samt relevanta utdrag ur standarderna för FSC, Chain of Custody, Controlled Wood och PEFC.</w:t>
      </w:r>
    </w:p>
    <w:p>
      <w:pPr>
        <w:pStyle w:val="Heading1"/>
      </w:pPr>
      <w:r>
        <w:t>Naturvårdsarter</w:t>
      </w:r>
    </w:p>
    <w:p>
      <w:r>
        <w:t>I avverkningsanmälan har följande 9 naturvårdsarter hittats: gammelgransskål (NT), garnlav (NT), gränsticka (NT), lunglav (NT), rosenticka (NT), rödbrun blekspik (NT), skrovellav (NT), urnlav (NT) och vedticka (S). Av dessa är 8 rödlistade. För rödlistade arter har rödlistekategorin angivits inom parentes. Arter som är signalarter enligt Skogsstyrelsen har markerats med (S).</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25690"/>
            <wp:docPr id="1" name="Picture 1"/>
            <wp:cNvGraphicFramePr>
              <a:graphicFrameLocks noChangeAspect="1"/>
            </wp:cNvGraphicFramePr>
            <a:graphic>
              <a:graphicData uri="http://schemas.openxmlformats.org/drawingml/2006/picture">
                <pic:pic>
                  <pic:nvPicPr>
                    <pic:cNvPr id="0" name="A 12330-2023.png"/>
                    <pic:cNvPicPr/>
                  </pic:nvPicPr>
                  <pic:blipFill>
                    <a:blip r:embed="rId16"/>
                    <a:stretch>
                      <a:fillRect/>
                    </a:stretch>
                  </pic:blipFill>
                  <pic:spPr>
                    <a:xfrm>
                      <a:off x="0" y="0"/>
                      <a:ext cx="5486400" cy="422569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7243607, E 551932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2023-09-09</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