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13357-2023 i Strömsunds kommun</w:t>
      </w:r>
    </w:p>
    <w:p>
      <w:r>
        <w:t>Detta dokument behandlar höga naturvärden i avverkningsamälan A 13357-2023 i Strömsunds kommun. Denna avverkningsanmälan inkom 2023-03-20 och omfattar 252,2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34 naturvårdsarter hittats: klot-tegellav (EN), trådbrosklav (EN), fjällraggmossa (VU), långskaftad svanmossa (VU, §8), norsk näverlav (VU), fjällgytterlav (NT), klibbig fetknopp (NT, §8), lunglav (NT), månlåsbräken (NT), nordlåsbräken (NT), rödbrun blekspik (NT), skrovellav (NT), tretåig hackspett (NT, §4), bårdlav (S), grov husmossa (S), gräsull (S), kambräken (S), klotuffmossa (S), kransrams (S), källpraktmossa (S), mörk husmossa (S), nordlig tuffmossa (S), skogshakmossa (S), spindelblomster (S, §8), stuplav (S), taggbräken (S), trådticka (S), tvåblad (S, §8), ögonpyrola (S), skogsrör (§7), brudsporre (§8), dubbelnycklar (§8), fläcknycklar (§8) och ängsnycklar (§8).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94194"/>
            <wp:docPr id="1" name="Picture 1"/>
            <wp:cNvGraphicFramePr>
              <a:graphicFrameLocks noChangeAspect="1"/>
            </wp:cNvGraphicFramePr>
            <a:graphic>
              <a:graphicData uri="http://schemas.openxmlformats.org/drawingml/2006/picture">
                <pic:pic>
                  <pic:nvPicPr>
                    <pic:cNvPr id="0" name="A 13357-2023.png"/>
                    <pic:cNvPicPr/>
                  </pic:nvPicPr>
                  <pic:blipFill>
                    <a:blip r:embed="rId16"/>
                    <a:stretch>
                      <a:fillRect/>
                    </a:stretch>
                  </pic:blipFill>
                  <pic:spPr>
                    <a:xfrm>
                      <a:off x="0" y="0"/>
                      <a:ext cx="5486400" cy="289419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7179324, E 447827 i SWEREF 99 TM.</w:t>
      </w:r>
    </w:p>
    <w:p>
      <w:pPr>
        <w:pStyle w:val="Heading1"/>
      </w:pPr>
      <w:r>
        <w:t>Fridlysta arter</w:t>
      </w:r>
    </w:p>
    <w:p>
      <w:r>
        <w:t xml:space="preserve">Följande fridlysta arter har sina livsmiljöer och växtplatser i den avverkningsanmälda skogen: </w:t>
      </w:r>
    </w:p>
    <w:p>
      <w:pPr>
        <w:pStyle w:val="ListBullet"/>
      </w:pPr>
      <w:r>
        <w:t>Långskaftad svanmossa (VU, §8)</w:t>
      </w:r>
    </w:p>
    <w:p>
      <w:pPr>
        <w:pStyle w:val="ListBullet"/>
      </w:pPr>
      <w:r>
        <w:t>Klibbig fetknopp (NT, §8)</w:t>
      </w:r>
    </w:p>
    <w:p>
      <w:pPr>
        <w:pStyle w:val="ListBullet"/>
      </w:pPr>
      <w:r>
        <w:t>Tretåig hackspett (NT, §4)</w:t>
      </w:r>
    </w:p>
    <w:p>
      <w:pPr>
        <w:pStyle w:val="ListBullet"/>
      </w:pPr>
      <w:r>
        <w:t>Spindelblomster (S, §8)</w:t>
      </w:r>
    </w:p>
    <w:p>
      <w:pPr>
        <w:pStyle w:val="ListBullet"/>
      </w:pPr>
      <w:r>
        <w:t>Tvåblad (S, §8)</w:t>
      </w:r>
    </w:p>
    <w:p>
      <w:pPr>
        <w:pStyle w:val="ListBullet"/>
      </w:pPr>
      <w:r>
        <w:t>Skogsrör (§7)</w:t>
      </w:r>
    </w:p>
    <w:p>
      <w:pPr>
        <w:pStyle w:val="ListBullet"/>
      </w:pPr>
      <w:r>
        <w:t>Brudsporre (§8)</w:t>
      </w:r>
    </w:p>
    <w:p>
      <w:pPr>
        <w:pStyle w:val="ListBullet"/>
      </w:pPr>
      <w:r>
        <w:t>Dubbelnycklar (§8)</w:t>
      </w:r>
    </w:p>
    <w:p>
      <w:pPr>
        <w:pStyle w:val="ListBullet"/>
      </w:pPr>
      <w:r>
        <w:t>Fläcknycklar (§8)</w:t>
      </w:r>
    </w:p>
    <w:p>
      <w:pPr>
        <w:pStyle w:val="ListBullet"/>
      </w:pPr>
      <w:r>
        <w:t>Ängsnycklar (§8)</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2023-09-19</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