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344-2020 i Var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