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29408-2022 i Vilhelmina kommun</w:t>
      </w:r>
    </w:p>
    <w:p>
      <w:r>
        <w:t>Detta dokument behandlar höga naturvärden i avverkningsamälan A 29408-2022 i Vilhelmina kommun. Denna avverkningsanmälan inkom 2022-07-11 och omfattar 17,1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37 naturvårdsarter hittats: njurlavsknapp (EN), aspfjädermossa (VU), borsttagging (VU), knärot (VU, §8), ostticka (VU), rynkskinn (VU), ulltickeporing (VU), gammelgransskål (NT), garnlav (NT), granticka (NT), grynig filtlav (NT), gränsticka (NT), harticka (NT), lunglav (NT), nordlig nållav (NT), rosenticka (NT), röd trolldruva (NT), skrovellav (NT), talltita (NT, §4), tretåig hackspett (NT, §4), ullticka (NT), vitgrynig nållav (NT), vitskaftad svartspik (NT), mörk kådsvartspik (DD), barkkornlav (S), bårdlav (S), gytterlav (S), korallblylav (S), luddlav (S), mörk husmossa (S), skinnlav (S), spindelblomster (S, §8), stuplav (S), tibast (S), ögonpyrola (S), skogsrör (§7) och revlummer (§9).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037609"/>
            <wp:docPr id="1" name="Picture 1"/>
            <wp:cNvGraphicFramePr>
              <a:graphicFrameLocks noChangeAspect="1"/>
            </wp:cNvGraphicFramePr>
            <a:graphic>
              <a:graphicData uri="http://schemas.openxmlformats.org/drawingml/2006/picture">
                <pic:pic>
                  <pic:nvPicPr>
                    <pic:cNvPr id="0" name="A 29408-2022.png"/>
                    <pic:cNvPicPr/>
                  </pic:nvPicPr>
                  <pic:blipFill>
                    <a:blip r:embed="rId16"/>
                    <a:stretch>
                      <a:fillRect/>
                    </a:stretch>
                  </pic:blipFill>
                  <pic:spPr>
                    <a:xfrm>
                      <a:off x="0" y="0"/>
                      <a:ext cx="5486400" cy="203760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7202657, E 538307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Tretåig hackspett (NT, §4)</w:t>
      </w:r>
    </w:p>
    <w:p>
      <w:pPr>
        <w:pStyle w:val="ListBullet"/>
      </w:pPr>
      <w:r>
        <w:t>Spindelblomster (S, §8)</w:t>
      </w:r>
    </w:p>
    <w:p>
      <w:pPr>
        <w:pStyle w:val="ListBullet"/>
      </w:pPr>
      <w:r>
        <w:t>Skogsrör (§7)</w:t>
      </w:r>
    </w:p>
    <w:p>
      <w:pPr>
        <w:pStyle w:val="ListBullet"/>
      </w:pPr>
      <w:r>
        <w:t>Revlummer (§9)</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1866537"/>
            <wp:docPr id="2" name="Picture 2"/>
            <wp:cNvGraphicFramePr>
              <a:graphicFrameLocks noChangeAspect="1"/>
            </wp:cNvGraphicFramePr>
            <a:graphic>
              <a:graphicData uri="http://schemas.openxmlformats.org/drawingml/2006/picture">
                <pic:pic>
                  <pic:nvPicPr>
                    <pic:cNvPr id="0" name="A 29408-2022.png"/>
                    <pic:cNvPicPr/>
                  </pic:nvPicPr>
                  <pic:blipFill>
                    <a:blip r:embed="rId17"/>
                    <a:stretch>
                      <a:fillRect/>
                    </a:stretch>
                  </pic:blipFill>
                  <pic:spPr>
                    <a:xfrm>
                      <a:off x="0" y="0"/>
                      <a:ext cx="5486400" cy="186653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7202657, E 538307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2023-09-03</w:t>
      <w:br/>
      <w:br/>
    </w:r>
    <w:r>
      <w:t>Till: Allmännings- och besparingsskogar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