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BD" w:rsidRPr="00380CBD" w:rsidRDefault="00CC3D75" w:rsidP="00380CBD">
      <w:pPr>
        <w:jc w:val="center"/>
        <w:rPr>
          <w:sz w:val="24"/>
          <w:szCs w:val="24"/>
        </w:rPr>
      </w:pPr>
      <w:bookmarkStart w:id="0" w:name="_GoBack"/>
      <w:r w:rsidRPr="00380CBD">
        <w:rPr>
          <w:sz w:val="24"/>
          <w:szCs w:val="24"/>
        </w:rPr>
        <w:t>Abitur-Thema:</w:t>
      </w:r>
    </w:p>
    <w:bookmarkEnd w:id="0"/>
    <w:p w:rsidR="00CC3D75" w:rsidRPr="00380CBD" w:rsidRDefault="00380CBD" w:rsidP="00380CBD">
      <w:pPr>
        <w:jc w:val="center"/>
        <w:rPr>
          <w:b/>
          <w:sz w:val="24"/>
          <w:szCs w:val="24"/>
          <w:u w:val="single"/>
        </w:rPr>
      </w:pPr>
      <w:r w:rsidRPr="00380CBD">
        <w:rPr>
          <w:b/>
          <w:sz w:val="24"/>
          <w:szCs w:val="24"/>
          <w:u w:val="single"/>
        </w:rPr>
        <w:t xml:space="preserve">LPE 13 </w:t>
      </w:r>
      <w:r w:rsidR="00CC3D75" w:rsidRPr="00380CBD">
        <w:rPr>
          <w:b/>
          <w:sz w:val="24"/>
          <w:szCs w:val="24"/>
          <w:u w:val="single"/>
        </w:rPr>
        <w:t>Kommunikation und Interaktion</w:t>
      </w:r>
    </w:p>
    <w:p w:rsidR="00CC3D75" w:rsidRPr="00380CBD" w:rsidRDefault="00380CBD" w:rsidP="00380CBD">
      <w:pPr>
        <w:jc w:val="center"/>
        <w:rPr>
          <w:sz w:val="24"/>
          <w:szCs w:val="24"/>
        </w:rPr>
      </w:pPr>
      <w:r w:rsidRPr="00380CBD">
        <w:rPr>
          <w:sz w:val="24"/>
          <w:szCs w:val="24"/>
        </w:rPr>
        <w:t>Kap. 23 u.a. Schulz von Thun &amp; Watzlawick</w:t>
      </w:r>
    </w:p>
    <w:p w:rsidR="00CC3D75" w:rsidRPr="00380CBD" w:rsidRDefault="00CC3D75">
      <w:pPr>
        <w:rPr>
          <w:sz w:val="24"/>
          <w:szCs w:val="24"/>
        </w:rPr>
      </w:pPr>
    </w:p>
    <w:tbl>
      <w:tblPr>
        <w:tblW w:w="945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29"/>
        <w:gridCol w:w="4730"/>
      </w:tblGrid>
      <w:tr w:rsidR="00CC3D75" w:rsidRPr="00380CBD" w:rsidTr="00CC3D75">
        <w:trPr>
          <w:trHeight w:val="662"/>
        </w:trPr>
        <w:tc>
          <w:tcPr>
            <w:tcW w:w="4729" w:type="dxa"/>
          </w:tcPr>
          <w:p w:rsidR="00CC3D75" w:rsidRPr="00380CBD" w:rsidRDefault="00CC3D75">
            <w:pPr>
              <w:pStyle w:val="Default"/>
            </w:pPr>
            <w:r w:rsidRPr="00380CBD">
              <w:t xml:space="preserve">Grundlagen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soziale Interaktion und Kommunikation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verbale und nonverbale Kommunikation </w:t>
            </w:r>
          </w:p>
          <w:p w:rsidR="00CC3D75" w:rsidRPr="00380CBD" w:rsidRDefault="00CC3D75">
            <w:pPr>
              <w:pStyle w:val="Default"/>
            </w:pPr>
          </w:p>
        </w:tc>
        <w:tc>
          <w:tcPr>
            <w:tcW w:w="4730" w:type="dxa"/>
          </w:tcPr>
          <w:p w:rsidR="00CC3D75" w:rsidRPr="00380CBD" w:rsidRDefault="00CC3D75">
            <w:pPr>
              <w:pStyle w:val="Default"/>
            </w:pPr>
            <w:r w:rsidRPr="00380CBD">
              <w:t xml:space="preserve">Gesichtsausdruck, Berührung, Distanzzonen, Körpersprache, geschlechtsspezifische Kommunikation </w:t>
            </w:r>
          </w:p>
        </w:tc>
      </w:tr>
      <w:tr w:rsidR="00CC3D75" w:rsidRPr="00380CBD" w:rsidTr="00CC3D75">
        <w:trPr>
          <w:trHeight w:val="664"/>
        </w:trPr>
        <w:tc>
          <w:tcPr>
            <w:tcW w:w="9459" w:type="dxa"/>
            <w:gridSpan w:val="2"/>
          </w:tcPr>
          <w:p w:rsidR="00CC3D75" w:rsidRPr="00380CBD" w:rsidRDefault="00CC3D75">
            <w:pPr>
              <w:pStyle w:val="Default"/>
            </w:pPr>
            <w:r w:rsidRPr="00380CBD">
              <w:t xml:space="preserve">Kommunikationsmodell nach P. Watzlawick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Axiome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Paradoxien, Double-Bind-Situationen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Probleme zwischenmenschlicher Kommunikation </w:t>
            </w:r>
          </w:p>
          <w:p w:rsidR="00CC3D75" w:rsidRPr="00380CBD" w:rsidRDefault="00CC3D75">
            <w:pPr>
              <w:pStyle w:val="Default"/>
            </w:pPr>
          </w:p>
        </w:tc>
      </w:tr>
      <w:tr w:rsidR="00CC3D75" w:rsidRPr="00380CBD" w:rsidTr="00CC3D75">
        <w:trPr>
          <w:trHeight w:val="943"/>
        </w:trPr>
        <w:tc>
          <w:tcPr>
            <w:tcW w:w="9459" w:type="dxa"/>
            <w:gridSpan w:val="2"/>
          </w:tcPr>
          <w:p w:rsidR="00CC3D75" w:rsidRPr="00380CBD" w:rsidRDefault="00CC3D75">
            <w:pPr>
              <w:pStyle w:val="Default"/>
            </w:pPr>
            <w:r w:rsidRPr="00380CBD">
              <w:t xml:space="preserve">Kommunikationsmodell nach F. Schulz von Thun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Vier-Seiten-Modell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Wahrnehmungs-, Interpretations- und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   Gefühlsebene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Probleme zwischenmenschlicher Kommunikation </w:t>
            </w:r>
          </w:p>
          <w:p w:rsidR="00CC3D75" w:rsidRPr="00380CBD" w:rsidRDefault="00CC3D75">
            <w:pPr>
              <w:pStyle w:val="Default"/>
            </w:pPr>
          </w:p>
        </w:tc>
      </w:tr>
      <w:tr w:rsidR="00CC3D75" w:rsidRPr="00380CBD" w:rsidTr="00CC3D75">
        <w:trPr>
          <w:trHeight w:val="523"/>
        </w:trPr>
        <w:tc>
          <w:tcPr>
            <w:tcW w:w="4729" w:type="dxa"/>
          </w:tcPr>
          <w:p w:rsidR="00CC3D75" w:rsidRPr="00380CBD" w:rsidRDefault="00CC3D75">
            <w:pPr>
              <w:pStyle w:val="Default"/>
            </w:pPr>
            <w:r w:rsidRPr="00380CBD">
              <w:t xml:space="preserve">Förderliche Kommunikation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aktives Zuhören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Ich-Botschaften </w:t>
            </w:r>
          </w:p>
          <w:p w:rsidR="00CC3D75" w:rsidRPr="00380CBD" w:rsidRDefault="00CC3D75">
            <w:pPr>
              <w:pStyle w:val="Default"/>
            </w:pPr>
            <w:r w:rsidRPr="00380CBD">
              <w:t xml:space="preserve">– Feedback-Regeln </w:t>
            </w:r>
          </w:p>
          <w:p w:rsidR="00CC3D75" w:rsidRPr="00380CBD" w:rsidRDefault="00CC3D75">
            <w:pPr>
              <w:pStyle w:val="Default"/>
            </w:pPr>
          </w:p>
        </w:tc>
        <w:tc>
          <w:tcPr>
            <w:tcW w:w="4730" w:type="dxa"/>
          </w:tcPr>
          <w:p w:rsidR="00CC3D75" w:rsidRPr="00380CBD" w:rsidRDefault="00CC3D75">
            <w:pPr>
              <w:pStyle w:val="Default"/>
            </w:pPr>
            <w:r w:rsidRPr="00380CBD">
              <w:t xml:space="preserve">Vgl. LPE 15 </w:t>
            </w:r>
          </w:p>
          <w:p w:rsidR="00CC3D75" w:rsidRPr="00380CBD" w:rsidRDefault="00CC3D75">
            <w:pPr>
              <w:pStyle w:val="Default"/>
            </w:pPr>
            <w:proofErr w:type="spellStart"/>
            <w:r w:rsidRPr="00380CBD">
              <w:t>Johari</w:t>
            </w:r>
            <w:proofErr w:type="spellEnd"/>
            <w:r w:rsidRPr="00380CBD">
              <w:t xml:space="preserve">-Fenster von J. Luft und H. Ingham </w:t>
            </w:r>
          </w:p>
        </w:tc>
      </w:tr>
    </w:tbl>
    <w:p w:rsidR="00BA2AEC" w:rsidRPr="00380CBD" w:rsidRDefault="00BA2AEC">
      <w:pPr>
        <w:rPr>
          <w:sz w:val="24"/>
          <w:szCs w:val="24"/>
        </w:rPr>
      </w:pPr>
    </w:p>
    <w:sectPr w:rsidR="00BA2AEC" w:rsidRPr="00380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75"/>
    <w:rsid w:val="00380CBD"/>
    <w:rsid w:val="00BA2AEC"/>
    <w:rsid w:val="00CC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4D6A55-44AE-47B2-B13F-2878BC92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C3D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</dc:creator>
  <cp:lastModifiedBy>Annette</cp:lastModifiedBy>
  <cp:revision>2</cp:revision>
  <dcterms:created xsi:type="dcterms:W3CDTF">2016-10-03T18:59:00Z</dcterms:created>
  <dcterms:modified xsi:type="dcterms:W3CDTF">2017-02-17T10:13:00Z</dcterms:modified>
</cp:coreProperties>
</file>