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6"/>
          <w:szCs w:val="56"/>
          <w:u w:val="none"/>
        </w:rPr>
      </w:pPr>
      <w:r>
        <w:rPr>
          <w:b/>
          <w:bCs/>
          <w:sz w:val="56"/>
          <w:szCs w:val="56"/>
          <w:u w:val="none"/>
        </w:rPr>
        <w:tab/>
        <w:tab/>
        <w:t>Albert Bandura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56"/>
          <w:szCs w:val="56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4222115</wp:posOffset>
            </wp:positionH>
            <wp:positionV relativeFrom="paragraph">
              <wp:posOffset>24130</wp:posOffset>
            </wp:positionV>
            <wp:extent cx="2052955" cy="254762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56"/>
          <w:szCs w:val="56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56"/>
          <w:szCs w:val="56"/>
          <w:u w:val="none"/>
        </w:rPr>
      </w:r>
    </w:p>
    <w:p>
      <w:pPr>
        <w:pStyle w:val="Normal"/>
        <w:rPr>
          <w:b/>
          <w:b/>
          <w:bCs/>
          <w:sz w:val="56"/>
          <w:szCs w:val="56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Steckbrief: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am 4. Dezember 1925 in Mundare, Kanada geboren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e</w:t>
      </w:r>
      <w:r>
        <w:rPr>
          <w:b w:val="false"/>
          <w:bCs w:val="false"/>
          <w:sz w:val="24"/>
          <w:szCs w:val="24"/>
          <w:u w:val="none"/>
        </w:rPr>
        <w:t>rhielt 1949 seinen Bachelor für Psychologie an der University of British Columbiana in Kanada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anschließend studierte er in der University of Iowa wo er 1951 seinen Master abschloss und 1952 seinen Doktortitel erhielt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1953 erhielt er einen Ruf von der Stanford University in welcher er bis heute Einfluss nimmt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1974 wurde er zum Präsidenten der American Psychological Association gewählt</w:t>
      </w:r>
    </w:p>
    <w:p>
      <w:pPr>
        <w:pStyle w:val="Normal"/>
        <w:spacing w:lineRule="auto" w:line="276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Werk: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In Iowa wurde Bandura von dem Lerntheoretiker Kenneth W. Spence beeinflusst wobei jedoch nach wie vor die Klinische Psychologie seine Hauptinteresse war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Seine Interessen für die Lernpsychologie wurde durch ein Buch von Miller und Dollard namens, Social Learning and Imitation, geweckt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In diesem Buch wurde das behavioristische Lerntheorie als Basis für das Erklären des sozialen Lernens und Imitierens genutzt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Diese Annahmen prägten die Psychologische Literatur fast zwei Jahre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erst 1960 begann Bandura mit Artikeln und Büchern diese Erklärungen zu verändern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er berichtete von seinem Lernen durch Beobachtung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 w:val="false"/>
          <w:bCs w:val="false"/>
          <w:sz w:val="24"/>
          <w:szCs w:val="24"/>
          <w:u w:val="none"/>
        </w:rPr>
        <w:t>wohl bekannteste Forschung: 1963 durchgeführte Bobo doll Study aus der die Theorie des Lernens am Modell erfolgte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LibreOffice/6.1.0.3$Windows_X86_64 LibreOffice_project/efb621ed25068d70781dc026f7e9c5187a4decd1</Application>
  <Pages>1</Pages>
  <Words>188</Words>
  <Characters>1029</Characters>
  <CharactersWithSpaces>1191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2019-01-22T10:36:13Z</dcterms:created>
  <dc:creator/>
  <dc:description/>
  <dc:language>de-DE</dc:language>
  <cp:lastModifiedBy/>
  <dcterms:modified xsi:type="dcterms:W3CDTF">2019-01-22T11:06:28Z</dcterms:modified>
  <cp:revision>1</cp:revision>
  <dc:subject/>
  <dc:title/>
</cp:coreProperties>
</file>