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color w:val="52606D"/>
          <w:sz w:val="15"/>
          <w:szCs w:val="15"/>
        </w:rPr>
        <w:t xml:space="preserve">AALE 2027 · Erweitertes Abstract · Themenbereiche: Didaktik und studentische Projekte, Energiemonitoring</w:t>
      </w:r>
    </w:p>
    <w:p>
      <w:pPr>
        <w:spacing w:after="40" w:line="2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Factory Control Unit: modellgetriebene Hard- und Software mit 3D-Web-Oberfläche für die Lernfabrik „Factory in a Box“</w:t>
      </w:r>
    </w:p>
    <w:p>
      <w:pPr>
        <w:pBdr>
          <w:bottom w:val="single" w:color="1F5F99" w:sz="6" w:space="3"/>
        </w:pBdr>
        <w:spacing w:after="5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Klaus Liebler</w:t>
      </w:r>
      <w:r>
        <w:rPr>
          <w:rFonts w:ascii="Arial" w:cs="Arial" w:eastAsia="Arial" w:hAnsi="Arial"/>
          <w:sz w:val="19"/>
          <w:szCs w:val="19"/>
        </w:rPr>
        <w:t xml:space="preserve">  ·  [Hochschule, Fachbereich]  ·  klaus@klaus-liebler.de</w:t>
      </w:r>
    </w:p>
    <w:p>
      <w:pPr>
        <w:keepNext/>
        <w:spacing w:after="30" w:before="80"/>
      </w:pPr>
      <w:r>
        <w:rPr>
          <w:rFonts w:ascii="Arial" w:cs="Arial" w:eastAsia="Arial" w:hAnsi="Arial"/>
          <w:b/>
          <w:bCs/>
          <w:color w:val="1F5F99"/>
          <w:sz w:val="20"/>
          <w:szCs w:val="20"/>
        </w:rPr>
        <w:t xml:space="preserve">1  Problem, Kontext und eigener Beitrag</w:t>
      </w:r>
    </w:p>
    <w:p>
      <w:pPr>
        <w:spacing w:after="50" w:line="228"/>
        <w:jc w:val="both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Problem und Ziel.</w:t>
      </w:r>
      <w:r>
        <w:rPr>
          <w:rFonts w:ascii="Arial" w:cs="Arial" w:eastAsia="Arial" w:hAnsi="Arial"/>
          <w:sz w:val="19"/>
          <w:szCs w:val="19"/>
        </w:rPr>
        <w:t xml:space="preserve"> Kommerzielle Lernfabriken wie die fischertechnik Training Factory [1] bringen eine feste Steuerung mit; Eigenbauten bieten selten industrieübliche Schnittstellen. „Factory in a Box“ ist eine kompakte Lernfabrik (u. a. Förderband, Roboterarm Waveshare RoArm-M3, pneumatische Druckregelstrecke; Materialbudget rund 600 €). Ziel ist ihre Steuerung, die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Factory Control Unit (FCU)</w:t>
      </w:r>
      <w:r>
        <w:rPr>
          <w:rFonts w:ascii="Arial" w:cs="Arial" w:eastAsia="Arial" w:hAnsi="Arial"/>
          <w:sz w:val="19"/>
          <w:szCs w:val="19"/>
        </w:rPr>
        <w:t xml:space="preserve">: eine Platine mit Firmware, die alle Sensoren und Aktoren bedient und über Modbus, OPC UA und eine Browser-Oberfläche zugänglich macht, wobei das Prozessabbild nur einmal beschrieben werden soll.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Kontext.</w:t>
      </w:r>
      <w:r>
        <w:rPr>
          <w:rFonts w:ascii="Arial" w:cs="Arial" w:eastAsia="Arial" w:hAnsi="Arial"/>
          <w:sz w:val="19"/>
          <w:szCs w:val="19"/>
        </w:rPr>
        <w:t xml:space="preserve"> OpenPLC [2] bietet eine quelloffene SPS-Laufzeit; die FCU ist dagegen ein Ein-/Ausgabegerät, dessen Protokollstack und Prozessabbild selbst Lerngegenstand sind. Als Schnittstellen dienen Modbus [3] und OPC UA [4].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Beitrag.</w:t>
      </w:r>
      <w:r>
        <w:rPr>
          <w:rFonts w:ascii="Arial" w:cs="Arial" w:eastAsia="Arial" w:hAnsi="Arial"/>
          <w:sz w:val="19"/>
          <w:szCs w:val="19"/>
        </w:rPr>
        <w:t xml:space="preserve"> (a) Eine Steuerplatine auf Basis des STM32H563; (b) ein modellgetriebener Ansatz, bei dem ein Informationsmodell C++-Code für Modbus und OPC UA sowie einen Teil des Web-UI erzeugt; (c) ein Web-UI mit eigener 3D-Engine, digitalem Schatten des Roboterarms und grafischem Teaching; (d) eine Regelungstechnik-Lehranwendung.</w:t>
      </w:r>
    </w:p>
    <w:p>
      <w:pPr>
        <w:keepNext/>
        <w:spacing w:after="30" w:before="80"/>
      </w:pPr>
      <w:r>
        <w:rPr>
          <w:rFonts w:ascii="Arial" w:cs="Arial" w:eastAsia="Arial" w:hAnsi="Arial"/>
          <w:b/>
          <w:bCs/>
          <w:color w:val="1F5F99"/>
          <w:sz w:val="20"/>
          <w:szCs w:val="20"/>
        </w:rPr>
        <w:t xml:space="preserve">2  Vorgehen und Methodik</w:t>
      </w:r>
    </w:p>
    <w:p>
      <w:pPr>
        <w:spacing w:after="50" w:line="228"/>
        <w:jc w:val="both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Hardware und Firmware.</w:t>
      </w:r>
      <w:r>
        <w:rPr>
          <w:rFonts w:ascii="Arial" w:cs="Arial" w:eastAsia="Arial" w:hAnsi="Arial"/>
          <w:sz w:val="19"/>
          <w:szCs w:val="19"/>
        </w:rPr>
        <w:t xml:space="preserve"> Die Platine vereint einen STM32H563 (Cortex-M33) mit Ethernet, USB-C (PD-Sink) und FDCAN, Schrittmotortreiber (TMC2209), Wägezelle, I²C-Sensoren, Leistungsmonitor INA226, Lichtschranken, Ventil- und PWM-Treiber, Bus-Servo-Anschluss für den Roboterarm und einen EtherCAT-Slave-Controller (LAN9253). Die C++-Firmware läuft auf Eclipse ThreadX mit NetX Duo und USBX; ein E/A-Thread (50 ms) pflegt das zentrale Registermodell, das Modbus TCP, Modbus RTU (USB), ein schlanker OPC-UA-Server (Eigenentwicklung, Basic256Sha256) und HTTPS/WebSocket gemeinsam nutzen.</w:t>
      </w:r>
    </w:p>
    <w:p>
      <w:pPr>
        <w:spacing w:after="50" w:line="228"/>
        <w:jc w:val="both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Informationsmodell und Codegenerierung.</w:t>
      </w:r>
      <w:r>
        <w:rPr>
          <w:rFonts w:ascii="Arial" w:cs="Arial" w:eastAsia="Arial" w:hAnsi="Arial"/>
          <w:sz w:val="19"/>
          <w:szCs w:val="19"/>
        </w:rPr>
        <w:t xml:space="preserve"> Das Prozessabbild ist einmalig als annotierte C#-Klassen beschrieben (Abb. 1): 16 Klassen bilden Regionen, 75 Felder Register; Attribute legen Zugriffsrecht, Einheit, Adresse, Pin, Wertebereich und Darstellungsart fest. Ein Generator (UniversalRegisterAccess), vom .NET-Build-Orchestrator aufgerufen, erzeugt daraus (1) C++-Header mit Adresskonstanten, Bitmasken und typisierten Accessoren für Modbus, (2) eine constexpr-Knotentabelle des OPC-UA-Adressraums (Objekte je Region, Variablen mit Datentyp, Zugriffsrechten und Callbacks; 32-Bit-Werte aus Registerpaaren), die ohne Laufzeitaufbau im Flash liegt, und (3) eine TypeScript-Registerkarte, aus der das Web-UI seine generischen Register-Panels (Tabellen, Schalter, Schieberegler mit Grenzen aus dem Schema) rendert. Schemaänderungen wirken so gleichzeitig auf Firmware und Oberfläche; Inkonsistenzen zwischen Modbus, OPC UA und UI werden zur Übersetzungszeit vermieden. Ein zweites Schema (BestBinaryBuffers: rund 30 Nachrichten, Union-Typen für Missionsschritte) erzeugt Kodierer, Dekodierer und maximale Puffergrößen des binären WebSocket-Protokolls in C++ und TypeScript (Tab. 1).</w:t>
      </w:r>
    </w:p>
    <w:p>
      <w:pPr>
        <w:keepNext/>
        <w:spacing w:after="20" w:before="40"/>
        <w:jc w:val="center"/>
      </w:pPr>
      <w:r>
        <w:drawing>
          <wp:inline distT="0" distB="0" distL="0" distR="0">
            <wp:extent cx="5905500" cy="2219325"/>
            <wp:effectExtent t="0" r="0" b="0" l="0"/>
            <wp:docPr id="1" name="Abb1" descr="Ein C#-Schema wird durch einen Generator in Modbus-Konstanten, OPC-UA-Knotentabelle und Web-UI-Registerkarte übersetzt; Laufzeitkette von der Anlage bis zu den Clients" title="Informationsmodell und Laufzeitarchitektu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70"/>
        <w:jc w:val="center"/>
      </w:pPr>
      <w:r>
        <w:rPr>
          <w:rFonts w:ascii="Arial" w:cs="Arial" w:eastAsia="Arial" w:hAnsi="Arial"/>
          <w:b/>
          <w:bCs/>
          <w:sz w:val="15"/>
          <w:szCs w:val="15"/>
        </w:rPr>
        <w:t xml:space="preserve">Abb. 1:</w:t>
      </w:r>
      <w:r>
        <w:rPr>
          <w:rFonts w:ascii="Arial" w:cs="Arial" w:eastAsia="Arial" w:hAnsi="Arial"/>
          <w:sz w:val="15"/>
          <w:szCs w:val="15"/>
        </w:rPr>
        <w:t xml:space="preserve"> Ein Informationsmodell erzeugt zur Build-Zeit Modbus-, OPC-UA- und Web-UI-Code; zur Laufzeit teilen alle Zugriffswege ein Registermodell.</w:t>
      </w:r>
    </w:p>
    <w:p>
      <w:pPr>
        <w:keepNext/>
        <w:spacing w:after="30"/>
        <w:jc w:val="center"/>
      </w:pPr>
      <w:r>
        <w:rPr>
          <w:rFonts w:ascii="Arial" w:cs="Arial" w:eastAsia="Arial" w:hAnsi="Arial"/>
          <w:b/>
          <w:bCs/>
          <w:sz w:val="15"/>
          <w:szCs w:val="15"/>
        </w:rPr>
        <w:t xml:space="preserve">Tab. 1:</w:t>
      </w:r>
      <w:r>
        <w:rPr>
          <w:rFonts w:ascii="Arial" w:cs="Arial" w:eastAsia="Arial" w:hAnsi="Arial"/>
          <w:sz w:val="15"/>
          <w:szCs w:val="15"/>
        </w:rPr>
        <w:t xml:space="preserve"> Aus dem Registerschema (erste drei Zeilen) und dem Nachrichtenschema (letzte Zeile) erzeugte Dateien.</w:t>
      </w:r>
    </w:p>
    <w:tbl>
      <w:tblPr>
        <w:tblW w:type="dxa" w:w="10092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50"/>
        <w:gridCol w:w="850"/>
        <w:gridCol w:w="4692"/>
        <w:gridCol w:w="1300"/>
      </w:tblGrid>
      <w:tr>
        <w:tc>
          <w:tcPr>
            <w:tcW w:type="dxa" w:w="3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BE8F5" w:color="auto" w:val="clear"/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Artefakt</w:t>
            </w:r>
          </w:p>
        </w:tc>
        <w:tc>
          <w:tcPr>
            <w:tcW w:type="dxa" w:w="8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BE8F5" w:color="auto" w:val="clear"/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Sprache</w:t>
            </w:r>
          </w:p>
        </w:tc>
        <w:tc>
          <w:tcPr>
            <w:tcW w:type="dxa" w:w="4692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BE8F5" w:color="auto" w:val="clear"/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Inhalt</w:t>
            </w:r>
          </w:p>
        </w:tc>
        <w:tc>
          <w:tcPr>
            <w:tcW w:type="dxa" w:w="1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BE8F5" w:color="auto" w:val="clear"/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line="200"/>
              <w:jc w:val="righ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Zeilen</w:t>
            </w:r>
          </w:p>
        </w:tc>
      </w:tr>
      <w:tr>
        <w:tc>
          <w:tcPr>
            <w:tcW w:type="dxa" w:w="3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Liberation Mono" w:cs="Liberation Mono" w:eastAsia="Liberation Mono" w:hAnsi="Liberation Mono"/>
                <w:b w:val="false"/>
                <w:bCs w:val="false"/>
                <w:sz w:val="15"/>
                <w:szCs w:val="15"/>
              </w:rPr>
              <w:t xml:space="preserve">modbus_registers_generated.hh</w:t>
            </w:r>
          </w:p>
        </w:tc>
        <w:tc>
          <w:tcPr>
            <w:tcW w:type="dxa" w:w="8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C++</w:t>
            </w:r>
          </w:p>
        </w:tc>
        <w:tc>
          <w:tcPr>
            <w:tcW w:type="dxa" w:w="4692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Adresskonstanten, Bitmasken, typisierte Accessoren</w:t>
            </w:r>
          </w:p>
        </w:tc>
        <w:tc>
          <w:tcPr>
            <w:tcW w:type="dxa" w:w="1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line="2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551</w:t>
            </w:r>
          </w:p>
        </w:tc>
      </w:tr>
      <w:tr>
        <w:tc>
          <w:tcPr>
            <w:tcW w:type="dxa" w:w="3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Liberation Mono" w:cs="Liberation Mono" w:eastAsia="Liberation Mono" w:hAnsi="Liberation Mono"/>
                <w:b w:val="false"/>
                <w:bCs w:val="false"/>
                <w:sz w:val="15"/>
                <w:szCs w:val="15"/>
              </w:rPr>
              <w:t xml:space="preserve">opcua_registers_generated.hh</w:t>
            </w:r>
          </w:p>
        </w:tc>
        <w:tc>
          <w:tcPr>
            <w:tcW w:type="dxa" w:w="8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C++</w:t>
            </w:r>
          </w:p>
        </w:tc>
        <w:tc>
          <w:tcPr>
            <w:tcW w:type="dxa" w:w="4692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OPC-UA-Adressraum als constexpr-Knotentabelle (&gt;110 Knoten)</w:t>
            </w:r>
          </w:p>
        </w:tc>
        <w:tc>
          <w:tcPr>
            <w:tcW w:type="dxa" w:w="1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line="2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902</w:t>
            </w:r>
          </w:p>
        </w:tc>
      </w:tr>
      <w:tr>
        <w:tc>
          <w:tcPr>
            <w:tcW w:type="dxa" w:w="3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Liberation Mono" w:cs="Liberation Mono" w:eastAsia="Liberation Mono" w:hAnsi="Liberation Mono"/>
                <w:b w:val="false"/>
                <w:bCs w:val="false"/>
                <w:sz w:val="15"/>
                <w:szCs w:val="15"/>
              </w:rPr>
              <w:t xml:space="preserve">register-map.ts</w:t>
            </w:r>
          </w:p>
        </w:tc>
        <w:tc>
          <w:tcPr>
            <w:tcW w:type="dxa" w:w="8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TS</w:t>
            </w:r>
          </w:p>
        </w:tc>
        <w:tc>
          <w:tcPr>
            <w:tcW w:type="dxa" w:w="4692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Registermetadaten für Register-Panels und Regelstrecke</w:t>
            </w:r>
          </w:p>
        </w:tc>
        <w:tc>
          <w:tcPr>
            <w:tcW w:type="dxa" w:w="1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line="2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186</w:t>
            </w:r>
          </w:p>
        </w:tc>
      </w:tr>
      <w:tr>
        <w:tc>
          <w:tcPr>
            <w:tcW w:type="dxa" w:w="3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Liberation Mono" w:cs="Liberation Mono" w:eastAsia="Liberation Mono" w:hAnsi="Liberation Mono"/>
                <w:b w:val="false"/>
                <w:bCs w:val="false"/>
                <w:sz w:val="15"/>
                <w:szCs w:val="15"/>
              </w:rPr>
              <w:t xml:space="preserve">ws_protocol.hh / ws-protocol.ts</w:t>
            </w:r>
          </w:p>
        </w:tc>
        <w:tc>
          <w:tcPr>
            <w:tcW w:type="dxa" w:w="8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C++/TS</w:t>
            </w:r>
          </w:p>
        </w:tc>
        <w:tc>
          <w:tcPr>
            <w:tcW w:type="dxa" w:w="4692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30 WebSocket-Nachrichten: Kodierer, Dekodierer, Puffer</w:t>
            </w:r>
          </w:p>
        </w:tc>
        <w:tc>
          <w:tcPr>
            <w:tcW w:type="dxa" w:w="1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line="2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2586 / 1333</w:t>
            </w:r>
          </w:p>
        </w:tc>
      </w:tr>
    </w:tbl>
    <w:p>
      <w:pPr>
        <w:spacing w:after="40"/>
      </w:pPr>
    </w:p>
    <w:p>
      <w:pPr>
        <w:spacing w:after="50" w:line="228"/>
        <w:jc w:val="both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Web-UI.</w:t>
      </w:r>
      <w:r>
        <w:rPr>
          <w:rFonts w:ascii="Arial" w:cs="Arial" w:eastAsia="Arial" w:hAnsi="Arial"/>
          <w:sz w:val="19"/>
          <w:szCs w:val="19"/>
        </w:rPr>
        <w:t xml:space="preserve"> Das Web-UI ist eine Single-Page-Anwendung aus Lit-Web-Components (TypeScript, Vite; rund 5800 Zeilen in den Anwendungsseiten). Der Build erzeugt eine einzige Brotli-komprimierte Datei (84 kB statt 460 kB), die per HTTPS aus dem Flash ausgeliefert wird; alle Anwendungsdaten laufen über einen binären WebSocket. Seiten sind generische Register-Panels, Power Management (INA226), eine System- und Task-Manager-Ansicht mit ThreadX-Live-Statistik, Roboter-Teach und die Druckregelstrecke. Letztere findet ihre Register über den Namen in der generierten Karte und führt im Browser Kennlinienaufnahme, Sprungantwort (Totzeit, 63-%-Zeitkonstante) und Reglerbetrieb (P/PI/PID, 500-ms-Takt, Entwurf nach T-Summen-Regel oder Chien–Hrones–Reswick [5], Anti-Windup) aus; die Firmware bleibt ein reines Register-Interface.</w:t>
      </w:r>
    </w:p>
    <w:p>
      <w:pPr>
        <w:spacing w:after="50" w:line="228"/>
        <w:jc w:val="both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3D-Engine und Roboterdarstellung.</w:t>
      </w:r>
      <w:r>
        <w:rPr>
          <w:rFonts w:ascii="Arial" w:cs="Arial" w:eastAsia="Arial" w:hAnsi="Arial"/>
          <w:sz w:val="19"/>
          <w:szCs w:val="19"/>
        </w:rPr>
        <w:t xml:space="preserve"> Auf der schlanken WebGL-Schicht OGL läuft ein eigener PBR-Shader (Cook-Torrance-GGX, analytischer Himmelsverlauf statt Cubemap, daher ohne Bild-Assets). Die Netze des Roboters werden offline aus den URDF-/STL-Daten des Herstellers per Skript (Vertex-Verschweißung, optionale Vereinfachung) in ein TypeScript-Modul überführt (Abb. 2); Vakuumsauger und Werkstück sind prozedurale Primitive. Vektor-/Quaternionenmathematik, Canvas-Overlay mit Bodenraster und selbst implementiertem Verschiebe-/Drehgizmo samt Hit-Testing, SVG-ViewCube und Orbit-/Pan-/Zoom-Kamera sind eigener Code (rund 1500 Zeilen TypeScript). Eine geschlossene (nicht iterative) inverse Kinematik des 3R-Arms mit Basisdrehung wählt aus vier Konfigurationen die der aktuellen Pose nächste (an 2000 Zufallsposen geprüft); das Raster färbt sich bei Gelenkgrenzen oder unerreichbarem Ziel gelb bzw. rot.</w:t>
      </w:r>
    </w:p>
    <w:p>
      <w:pPr>
        <w:keepNext/>
        <w:spacing w:after="20" w:before="40"/>
        <w:jc w:val="center"/>
      </w:pPr>
      <w:r>
        <w:drawing>
          <wp:inline distT="0" distB="0" distL="0" distR="0">
            <wp:extent cx="5257800" cy="1790700"/>
            <wp:effectExtent t="0" r="0" b="0" l="0"/>
            <wp:docPr id="1" name="Abb2" descr="Offline-Werkzeugkette für Roboternetze, Browser-Komponenten der Teach-Seite und die Verbindung zur FCU über WebSocket" title="Architektur der Teach-Se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70"/>
        <w:jc w:val="center"/>
      </w:pPr>
      <w:r>
        <w:rPr>
          <w:rFonts w:ascii="Arial" w:cs="Arial" w:eastAsia="Arial" w:hAnsi="Arial"/>
          <w:b/>
          <w:bCs/>
          <w:sz w:val="15"/>
          <w:szCs w:val="15"/>
        </w:rPr>
        <w:t xml:space="preserve">Abb. 2:</w:t>
      </w:r>
      <w:r>
        <w:rPr>
          <w:rFonts w:ascii="Arial" w:cs="Arial" w:eastAsia="Arial" w:hAnsi="Arial"/>
          <w:sz w:val="15"/>
          <w:szCs w:val="15"/>
        </w:rPr>
        <w:t xml:space="preserve"> Teach-Seite: Roboterdaten aus der Offline-Werkzeugkette, Browser-Komponenten und Kopplung zur FCU über eine Backend-Schnittstelle.</w:t>
      </w:r>
    </w:p>
    <w:p>
      <w:pPr>
        <w:spacing w:after="50" w:line="228"/>
        <w:jc w:val="both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Teaching und Missionen.</w:t>
      </w:r>
      <w:r>
        <w:rPr>
          <w:rFonts w:ascii="Arial" w:cs="Arial" w:eastAsia="Arial" w:hAnsi="Arial"/>
          <w:sz w:val="19"/>
          <w:szCs w:val="19"/>
        </w:rPr>
        <w:t xml:space="preserve"> Zielposen entstehen über Gelenkschieber, kartesische Werte oder den Gizmo (Abb. 3); die FCU erhält Jog-Ziele und meldet Gelenkwinkel, Position und Servostatus zurück, womit das 3D-Modell als digitaler Schatten der realen Pose folgt. Missionen bestehen aus Gelenkfahrten (exakte Pose oder Stützstelle), Vakuum-Schaltschritten und Wartezeiten; sie werden an einer Einfügemarke bearbeitet (Verschieben, Löschen, Geisterbild der vorherigen Pose), als benannte Slots mit bis zu 64 Schritten im LittleFS gespeichert und per Register auch von Modbus- oder OPC-UA-Clients gestartet; ein aktiver Teach-Modus sperrt den Missionsstart. Das trapezförmige Geschwindigkeitsprofil und die Kinematik der Waveshare-Referenz wurden zunächst in TypeScript entwickelt und identisch nach C++ portiert; sie sind noch nicht an realer Hardware verifiziert. Ein Mock-Backend erlaubt die UI-Entwicklung ohne Hardware; Abb. 3 stammt aus diesem Aufbau.</w:t>
      </w:r>
    </w:p>
    <w:p>
      <w:pPr>
        <w:keepNext/>
        <w:spacing w:after="20" w:before="40"/>
        <w:jc w:val="center"/>
      </w:pPr>
      <w:r>
        <w:drawing>
          <wp:inline distT="0" distB="0" distL="0" distR="0">
            <wp:extent cx="3886200" cy="1695450"/>
            <wp:effectExtent t="0" r="0" b="0" l="0"/>
            <wp:docPr id="1" name="Abb3" descr="3D-Ansicht des Roboterarms mit Gizmo, ViewCube und Geisterbild, rechts Gelenkschieber und Missionsliste" title="Teach-Seite des Web-U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70"/>
        <w:jc w:val="center"/>
      </w:pPr>
      <w:r>
        <w:rPr>
          <w:rFonts w:ascii="Arial" w:cs="Arial" w:eastAsia="Arial" w:hAnsi="Arial"/>
          <w:b/>
          <w:bCs/>
          <w:sz w:val="15"/>
          <w:szCs w:val="15"/>
        </w:rPr>
        <w:t xml:space="preserve">Abb. 3:</w:t>
      </w:r>
      <w:r>
        <w:rPr>
          <w:rFonts w:ascii="Arial" w:cs="Arial" w:eastAsia="Arial" w:hAnsi="Arial"/>
          <w:sz w:val="15"/>
          <w:szCs w:val="15"/>
        </w:rPr>
        <w:t xml:space="preserve"> Teach-Seite (Ausschnitte): 3D-Modell mit Gizmo, ViewCube und Geisterbild; Gelenkschieber und Missionsliste (Entwicklungsserver, Mock-Backend).</w:t>
      </w:r>
    </w:p>
    <w:p>
      <w:pPr>
        <w:keepNext/>
        <w:spacing w:after="30" w:before="80"/>
      </w:pPr>
      <w:r>
        <w:rPr>
          <w:rFonts w:ascii="Arial" w:cs="Arial" w:eastAsia="Arial" w:hAnsi="Arial"/>
          <w:b/>
          <w:bCs/>
          <w:color w:val="1F5F99"/>
          <w:sz w:val="20"/>
          <w:szCs w:val="20"/>
        </w:rPr>
        <w:t xml:space="preserve">3  Ergebnisse und Reifegrad</w:t>
      </w:r>
    </w:p>
    <w:p>
      <w:pPr>
        <w:spacing w:after="50" w:line="228"/>
        <w:jc w:val="both"/>
      </w:pPr>
      <w:r>
        <w:rPr>
          <w:rFonts w:ascii="Arial" w:cs="Arial" w:eastAsia="Arial" w:hAnsi="Arial"/>
          <w:sz w:val="19"/>
          <w:szCs w:val="19"/>
        </w:rPr>
        <w:t xml:space="preserve">Die grundsätzliche Funktion aller Ein-/Ausgänge und Kommunikationsschnittstellen wurde im Rahmen einer Bachelorarbeit geprüft; die EtherCAT-Schnittstelle wird in Kürze funktionsfähig sein. Codegenerator, Web-UI, 3D-Teaching und Druckregelstrecke sind implementiert. Reifegrad: Funktionsmuster im Labor (etwa TRL 4). Offen sind der Einsatz in einer Lehrveranstaltung, Zeitmessungen und die Verifikation der Roboterkinematik an realer Hardware.</w:t>
      </w:r>
    </w:p>
    <w:p>
      <w:pPr>
        <w:keepNext/>
        <w:spacing w:after="30" w:before="80"/>
      </w:pPr>
      <w:r>
        <w:rPr>
          <w:rFonts w:ascii="Arial" w:cs="Arial" w:eastAsia="Arial" w:hAnsi="Arial"/>
          <w:b/>
          <w:bCs/>
          <w:color w:val="1F5F99"/>
          <w:sz w:val="20"/>
          <w:szCs w:val="20"/>
        </w:rPr>
        <w:t xml:space="preserve">4  Nutzen für Lehre, Praxis und Forschung</w:t>
      </w:r>
    </w:p>
    <w:p>
      <w:pPr>
        <w:spacing w:after="50" w:line="228"/>
        <w:jc w:val="both"/>
      </w:pPr>
      <w:r>
        <w:rPr>
          <w:rFonts w:ascii="Arial" w:cs="Arial" w:eastAsia="Arial" w:hAnsi="Arial"/>
          <w:sz w:val="19"/>
          <w:szCs w:val="19"/>
        </w:rPr>
        <w:t xml:space="preserve">In der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Lehre</w:t>
      </w:r>
      <w:r>
        <w:rPr>
          <w:rFonts w:ascii="Arial" w:cs="Arial" w:eastAsia="Arial" w:hAnsi="Arial"/>
          <w:sz w:val="19"/>
          <w:szCs w:val="19"/>
        </w:rPr>
        <w:t xml:space="preserve"> greifen SPS-Übungen über Modbus TCP oder OPC UA auf reale Ein- und Ausgänge zu, die Regelungstechnik nutzt die Druckregelstrecke, Robotikprojekte die Teach-Oberfläche; Abschlussarbeiten erweitern Hard- und Software. Der INA226 liefert Spannung, Strom und Leistung der Anlage für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Energiemonitoring</w:t>
      </w:r>
      <w:r>
        <w:rPr>
          <w:rFonts w:ascii="Arial" w:cs="Arial" w:eastAsia="Arial" w:hAnsi="Arial"/>
          <w:sz w:val="19"/>
          <w:szCs w:val="19"/>
        </w:rPr>
        <w:t xml:space="preserve">. Für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Praxis und Forschung</w:t>
      </w:r>
      <w:r>
        <w:rPr>
          <w:rFonts w:ascii="Arial" w:cs="Arial" w:eastAsia="Arial" w:hAnsi="Arial"/>
          <w:sz w:val="19"/>
          <w:szCs w:val="19"/>
        </w:rPr>
        <w:t xml:space="preserve"> zeigt der Ansatz konsistente Feldbus-, OPC-UA- und Web-Sichten aus einem Modell auf einem Mikrocontroller.</w:t>
      </w:r>
    </w:p>
    <w:p>
      <w:pPr>
        <w:keepNext/>
        <w:spacing w:after="30" w:before="80"/>
      </w:pPr>
      <w:r>
        <w:rPr>
          <w:rFonts w:ascii="Arial" w:cs="Arial" w:eastAsia="Arial" w:hAnsi="Arial"/>
          <w:b/>
          <w:bCs/>
          <w:color w:val="1F5F99"/>
          <w:sz w:val="20"/>
          <w:szCs w:val="20"/>
        </w:rPr>
        <w:t xml:space="preserve">Literatur</w:t>
      </w:r>
    </w:p>
    <w:p>
      <w:pPr>
        <w:spacing w:after="20" w:line="216"/>
        <w:ind w:left="340" w:hanging="340"/>
        <w:jc w:val="left"/>
      </w:pPr>
      <w:r>
        <w:rPr>
          <w:rFonts w:ascii="Arial" w:cs="Arial" w:eastAsia="Arial" w:hAnsi="Arial"/>
          <w:sz w:val="15"/>
          <w:szCs w:val="15"/>
        </w:rPr>
        <w:t xml:space="preserve">[1]  fischertechnik GmbH: Training Factory Industry 4.0 24V – Accompanying booklet, Stand 22.03.2024.</w:t>
      </w:r>
    </w:p>
    <w:p>
      <w:pPr>
        <w:spacing w:after="20" w:line="216"/>
        <w:ind w:left="340" w:hanging="340"/>
        <w:jc w:val="left"/>
      </w:pPr>
      <w:r>
        <w:rPr>
          <w:rFonts w:ascii="Arial" w:cs="Arial" w:eastAsia="Arial" w:hAnsi="Arial"/>
          <w:sz w:val="15"/>
          <w:szCs w:val="15"/>
        </w:rPr>
        <w:t xml:space="preserve">[2]  Alves, T. et al.: OpenPLC: An open source alternative to automation. IEEE Global Humanitarian Technology Conference (GHTC), 2014.</w:t>
      </w:r>
    </w:p>
    <w:p>
      <w:pPr>
        <w:spacing w:after="20" w:line="216"/>
        <w:ind w:left="340" w:hanging="340"/>
        <w:jc w:val="left"/>
      </w:pPr>
      <w:r>
        <w:rPr>
          <w:rFonts w:ascii="Arial" w:cs="Arial" w:eastAsia="Arial" w:hAnsi="Arial"/>
          <w:sz w:val="15"/>
          <w:szCs w:val="15"/>
        </w:rPr>
        <w:t xml:space="preserve">[3]  Modbus Organization: MODBUS Application Protocol Specification V1.1b3, 2012.</w:t>
      </w:r>
    </w:p>
    <w:p>
      <w:pPr>
        <w:spacing w:after="20" w:line="216"/>
        <w:ind w:left="340" w:hanging="340"/>
        <w:jc w:val="left"/>
      </w:pPr>
      <w:r>
        <w:rPr>
          <w:rFonts w:ascii="Arial" w:cs="Arial" w:eastAsia="Arial" w:hAnsi="Arial"/>
          <w:sz w:val="15"/>
          <w:szCs w:val="15"/>
        </w:rPr>
        <w:t xml:space="preserve">[4]  IEC 62541: OPC Unified Architecture, Teil 6: Mappings.</w:t>
      </w:r>
    </w:p>
    <w:p>
      <w:pPr>
        <w:spacing w:after="20" w:line="216"/>
        <w:ind w:left="340" w:hanging="340"/>
        <w:jc w:val="left"/>
      </w:pPr>
      <w:r>
        <w:rPr>
          <w:rFonts w:ascii="Arial" w:cs="Arial" w:eastAsia="Arial" w:hAnsi="Arial"/>
          <w:sz w:val="15"/>
          <w:szCs w:val="15"/>
        </w:rPr>
        <w:t xml:space="preserve">[5]  Chien, K. L.; Hrones, J. A.; Reswick, J. B.: On the automatic control of generalized passive systems. Trans. ASME 74 (1952), S. 175–185.</w:t>
      </w:r>
    </w:p>
    <w:sectPr>
      <w:pgSz w:w="11906" w:h="16838" w:orient="portrait"/>
      <w:pgMar w:top="737" w:right="907" w:bottom="680" w:left="9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e447ceac31433da708c0b0ade7a7cf9cf88d0ab.png"/><Relationship Id="rId8" Type="http://schemas.openxmlformats.org/officeDocument/2006/relationships/image" Target="media/3dc644914ade6b890f209b529bd78026359a8f29.png"/><Relationship Id="rId9" Type="http://schemas.openxmlformats.org/officeDocument/2006/relationships/image" Target="media/c67f6553ba9eb18112b5af1c75cbbd89fcd615a0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Factory Control Unit: modellgetriebene Hard- und Software mit 3D-Web-Oberfläche für die Lernfabrik Factory in a Box</dc:title>
  <dc:creator>Klaus Liebler</dc:creator>
  <dc:description>Erweitertes Abstract AALE 2027</dc:description>
  <cp:lastModifiedBy>Un-named</cp:lastModifiedBy>
  <cp:revision>1</cp:revision>
  <dcterms:created xsi:type="dcterms:W3CDTF">2026-09-21T16:21:16.390Z</dcterms:created>
  <dcterms:modified xsi:type="dcterms:W3CDTF">2026-09-21T16:21:16.391Z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