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aps/>
          <w:color w:val="555555"/>
          <w:sz w:val="20"/>
          <w:szCs w:val="20"/>
        </w:rPr>
        <w:t xml:space="preserve">MANUSCRIPT ANALYSIS SERIES</w:t>
      </w:r>
    </w:p>
    <w:p>
      <w:pPr>
        <w:pBdr>
          <w:bottom w:val="single" w:color="C9A84C" w:sz="18"/>
        </w:pBdr>
        <w:spacing w:before="0" w:after="200"/>
        <w:jc w:val="center"/>
      </w:pPr>
      <w:r>
        <w:rPr>
          <w:rFonts w:ascii="Arial" w:cs="Arial" w:eastAsia="Arial" w:hAnsi="Arial"/>
          <w:b/>
          <w:bCs/>
          <w:color w:val="1F3864"/>
          <w:sz w:val="40"/>
          <w:szCs w:val="40"/>
        </w:rPr>
        <w:t xml:space="preserve">When Do Charitable Remainder Unitrusts Outperform?</w:t>
      </w:r>
    </w:p>
    <w:p>
      <w:pPr>
        <w:spacing w:before="200" w:after="120"/>
        <w:jc w:val="center"/>
      </w:pPr>
      <w:r>
        <w:rPr>
          <w:rFonts w:ascii="Arial" w:cs="Arial" w:eastAsia="Arial" w:hAnsi="Arial"/>
          <w:i/>
          <w:iCs/>
          <w:color w:val="2E75B6"/>
          <w:sz w:val="30"/>
          <w:szCs w:val="30"/>
        </w:rPr>
        <w:t xml:space="preserve">A Monte Carlo Analysis</w:t>
      </w:r>
    </w:p>
    <w:p>
      <w:pPr>
        <w:spacing w:before="0" w:after="160"/>
      </w:pPr>
      <w:r>
        <w:rPr>
          <w:rFonts w:ascii="Arial" w:cs="Arial" w:eastAsia="Arial" w:hAnsi="Arial"/>
        </w:rPr>
        <w:t xml:space="preserve"/>
      </w:r>
    </w:p>
    <w:p>
      <w:pPr>
        <w:spacing w:before="0" w:after="60"/>
        <w:jc w:val="center"/>
      </w:pPr>
      <w:r>
        <w:rPr>
          <w:rFonts w:ascii="Arial" w:cs="Arial" w:eastAsia="Arial" w:hAnsi="Arial"/>
          <w:b/>
          <w:bCs/>
          <w:color w:val="1F3864"/>
          <w:sz w:val="28"/>
          <w:szCs w:val="28"/>
        </w:rPr>
        <w:t xml:space="preserve">Notebook Analysis Summary</w:t>
      </w:r>
    </w:p>
    <w:p>
      <w:pPr>
        <w:spacing w:before="0" w:after="80"/>
        <w:jc w:val="center"/>
      </w:pPr>
      <w:r>
        <w:rPr>
          <w:rFonts w:ascii="Arial" w:cs="Arial" w:eastAsia="Arial" w:hAnsi="Arial"/>
          <w:i/>
          <w:iCs/>
          <w:color w:val="555555"/>
          <w:sz w:val="22"/>
          <w:szCs w:val="22"/>
        </w:rPr>
        <w:t xml:space="preserve">Notebooks 00 – 06: Findings, Methodology, and Manuscript Implications</w:t>
      </w:r>
    </w:p>
    <w:p>
      <w:pPr>
        <w:spacing w:before="0" w:after="80"/>
      </w:pPr>
      <w:r>
        <w:rPr>
          <w:rFonts w:ascii="Arial" w:cs="Arial" w:eastAsia="Arial" w:hAnsi="Arial"/>
        </w:rPr>
        <w:t xml:space="preserve"/>
      </w:r>
    </w:p>
    <w:p>
      <w:pPr>
        <w:spacing w:before="0" w:after="40"/>
        <w:jc w:val="center"/>
      </w:pPr>
      <w:r>
        <w:rPr>
          <w:rFonts w:ascii="Arial" w:cs="Arial" w:eastAsia="Arial" w:hAnsi="Arial"/>
          <w:b/>
          <w:bCs/>
          <w:color w:val="1F3864"/>
          <w:sz w:val="22"/>
          <w:szCs w:val="22"/>
        </w:rPr>
        <w:t xml:space="preserve">Klaus Gottlieb, JD, MS, MBA</w:t>
      </w:r>
      <w:r>
        <w:rPr>
          <w:rFonts w:ascii="Arial" w:cs="Arial" w:eastAsia="Arial" w:hAnsi="Arial"/>
          <w:color w:val="555555"/>
          <w:sz w:val="22"/>
          <w:szCs w:val="22"/>
        </w:rPr>
        <w:t xml:space="preserve">  |  </w:t>
      </w:r>
      <w:r>
        <w:rPr>
          <w:rFonts w:ascii="Arial" w:cs="Arial" w:eastAsia="Arial" w:hAnsi="Arial"/>
          <w:color w:val="555555"/>
          <w:sz w:val="22"/>
          <w:szCs w:val="22"/>
        </w:rPr>
        <w:t xml:space="preserve">Wealth Care Lawyer  •  Cayucos, CA</w:t>
      </w:r>
    </w:p>
    <w:p>
      <w:pPr>
        <w:spacing w:before="0" w:after="0"/>
        <w:jc w:val="center"/>
      </w:pPr>
      <w:r>
        <w:rPr>
          <w:rFonts w:ascii="Arial" w:cs="Arial" w:eastAsia="Arial" w:hAnsi="Arial"/>
          <w:color w:val="2E75B6"/>
          <w:sz w:val="22"/>
          <w:szCs w:val="22"/>
        </w:rPr>
        <w:t xml:space="preserve">CalCRUT.com</w:t>
      </w:r>
    </w:p>
    <w:p>
      <w:pPr>
        <w:spacing w:before="0" w:after="3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1"/>
              <w:right w:val="single" w:color="2E75B6" w:sz="1"/>
            </w:tcBorders>
            <w:shd w:fill="DDEEFF" w:val="clear"/>
            <w:tcMar>
              <w:top w:type="dxa" w:w="140"/>
              <w:left w:type="dxa" w:w="200"/>
              <w:bottom w:type="dxa" w:w="140"/>
              <w:right w:type="dxa" w:w="200"/>
            </w:tcMar>
          </w:tcPr>
          <w:p>
            <w:pPr>
              <w:spacing w:before="0" w:after="80"/>
            </w:pPr>
            <w:r>
              <w:rPr>
                <w:rFonts w:ascii="Arial" w:cs="Arial" w:eastAsia="Arial" w:hAnsi="Arial"/>
                <w:b/>
                <w:bCs/>
                <w:caps/>
                <w:color w:val="2E75B6"/>
                <w:sz w:val="20"/>
                <w:szCs w:val="20"/>
              </w:rPr>
              <w:t xml:space="preserve">How to Read This Document</w:t>
            </w:r>
          </w:p>
          <w:p>
            <w:pPr>
              <w:spacing w:before="0" w:after="80"/>
            </w:pPr>
            <w:r>
              <w:rPr>
                <w:rFonts w:ascii="Arial" w:cs="Arial" w:eastAsia="Arial" w:hAnsi="Arial"/>
                <w:color w:val="111111"/>
                <w:sz w:val="21"/>
                <w:szCs w:val="21"/>
              </w:rPr>
              <w:t xml:space="preserve">This summary accompanies the seven Jupyter notebooks that form the quantitative backbone of the CalCRUT manuscript. For each notebook it explains: (1) what was built; (2) what the analysis found; and (3) why that finding strengthens a specific claim in the manuscript.</w:t>
            </w:r>
          </w:p>
          <w:p>
            <w:pPr>
              <w:spacing w:before="0" w:after="80"/>
            </w:pPr>
            <w:r>
              <w:rPr>
                <w:rFonts w:ascii="Arial" w:cs="Arial" w:eastAsia="Arial" w:hAnsi="Arial"/>
                <w:color w:val="111111"/>
                <w:sz w:val="21"/>
                <w:szCs w:val="21"/>
              </w:rPr>
              <w:t xml:space="preserve">The notebooks are designed to be run sequentially in Google Colab. Each is self-contained — the full simulation engine is reproduced in every notebook so any one can be opened in isolation without dependency on prior outputs.</w:t>
            </w:r>
          </w:p>
          <w:p>
            <w:pPr>
              <w:spacing w:before="0" w:after="80"/>
            </w:pPr>
            <w:r>
              <w:rPr>
                <w:rFonts w:ascii="Arial" w:cs="Arial" w:eastAsia="Arial" w:hAnsi="Arial"/>
                <w:color w:val="111111"/>
                <w:sz w:val="21"/>
                <w:szCs w:val="21"/>
              </w:rPr>
              <w:t xml:space="preserve">Baseline parameters throughout: $1,000,000 FMV asset, 20% cost basis, Two Life beneficiaries aged 63/65, 6% annual payout rate, 5% §7520 rate, 7% expected return, 12% volatility, California tax rates, 2,000 simulation paths.</w:t>
            </w:r>
          </w:p>
          <w:p>
            <w:pPr>
              <w:spacing w:before="0" w:after="40"/>
            </w:pPr>
            <w:r>
              <w:rPr>
                <w:rFonts w:ascii="Arial" w:cs="Arial" w:eastAsia="Arial" w:hAnsi="Arial"/>
              </w:rPr>
              <w:t xml:space="preserve"/>
            </w:r>
          </w:p>
        </w:tc>
      </w:tr>
    </w:tbl>
    <w:p>
      <w:pPr>
        <w:spacing w:before="0" w:after="24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Master Parameter Sensitivity Ranking  (One-at-a-Time, from Notebook 01)</w:t>
      </w:r>
    </w:p>
    <w:p>
      <w:pPr>
        <w:spacing w:before="0" w:after="160"/>
      </w:pPr>
      <w:r>
        <w:rPr>
          <w:rFonts w:ascii="Arial" w:cs="Arial" w:eastAsia="Arial" w:hAnsi="Arial"/>
          <w:color w:val="222222"/>
          <w:sz w:val="22"/>
          <w:szCs w:val="22"/>
        </w:rPr>
        <w:t xml:space="preserve">The following table anchors every subsequent section. Each notebook addresses one or more parameters from this ranking.</w:t>
      </w:r>
    </w:p>
    <w:p>
      <w:pPr>
        <w:spacing w:before="0" w:after="80"/>
      </w:pPr>
      <w:r>
        <w:rPr>
          <w:rFonts w:ascii="Arial" w:cs="Arial" w:eastAsia="Arial" w:hAnsi="Arial"/>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1440"/>
        <w:gridCol w:w="1200"/>
        <w:gridCol w:w="1960"/>
      </w:tblGrid>
      <w:tr>
        <w:tc>
          <w:tcPr>
            <w:tcW w:type="dxa" w:w="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Rank</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OAT Win Prob Range</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Notebook(s)</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r>
      <w:tr>
        <w:tc>
          <w:tcPr>
            <w:tcW w:type="dxa" w:w="3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Expected return μ</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~55 pp</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NB-01, NB-06</w:t>
            </w:r>
          </w:p>
        </w:tc>
        <w:tc>
          <w:tcPr>
            <w:tcW w:type="dxa" w:w="19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Higher μ → CRUT wins more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Longevity adjustment</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~39 pp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NB-03</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Longer life → CRUT wins more</w:t>
            </w:r>
          </w:p>
        </w:tc>
      </w:tr>
      <w:tr>
        <w:tc>
          <w:tcPr>
            <w:tcW w:type="dxa" w:w="3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Benchmark fee / drag</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~31 pp</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NB-01</w:t>
            </w:r>
          </w:p>
        </w:tc>
        <w:tc>
          <w:tcPr>
            <w:tcW w:type="dxa" w:w="19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Higher bench fee → CRUT wins more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Payout rate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~29 pp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NB-04</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Non-monotonic — interior optimum</w:t>
            </w:r>
          </w:p>
        </w:tc>
      </w:tr>
      <w:tr>
        <w:tc>
          <w:tcPr>
            <w:tcW w:type="dxa" w:w="3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Asset basis fraction</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~27 pp</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NB-01, NB-04</w:t>
            </w:r>
          </w:p>
        </w:tc>
        <w:tc>
          <w:tcPr>
            <w:tcW w:type="dxa" w:w="19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Lower basis → CRUT wins more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Turnover rate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 pp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NB-00–06</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Higher turnover → CRUT wins more</w:t>
            </w:r>
          </w:p>
        </w:tc>
      </w:tr>
      <w:tr>
        <w:tc>
          <w:tcPr>
            <w:tcW w:type="dxa" w:w="3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2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Return volatility σ</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~18 pp</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NB-06</w:t>
            </w:r>
          </w:p>
        </w:tc>
        <w:tc>
          <w:tcPr>
            <w:tcW w:type="dxa" w:w="19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Varies — see robustness section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State tax rate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 pp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NB-05</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Higher state rate → CRUT wins more</w:t>
            </w:r>
          </w:p>
        </w:tc>
      </w:tr>
      <w:tr>
        <w:tc>
          <w:tcPr>
            <w:tcW w:type="dxa" w:w="3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2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Trust fee</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~12 pp</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NB-01</w:t>
            </w:r>
          </w:p>
        </w:tc>
        <w:tc>
          <w:tcPr>
            <w:tcW w:type="dxa" w:w="19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Lower fee → CRUT wins more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Payout frequency</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 pp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NB-01</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Quarterly vs. annual minor</w:t>
            </w:r>
          </w:p>
        </w:tc>
      </w:tr>
      <w:tr>
        <w:tc>
          <w:tcPr>
            <w:tcW w:type="dxa" w:w="3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2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AGI / deduction absorption</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~4 pp</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NB-01</w:t>
            </w:r>
          </w:p>
        </w:tc>
        <w:tc>
          <w:tcPr>
            <w:tcW w:type="dxa" w:w="19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Full absorption slightly better</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§7520 rate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pp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NB-04</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Near-zero net effect (cancels)</w:t>
            </w:r>
          </w:p>
        </w:tc>
      </w:tr>
    </w:tbl>
    <w:p>
      <w:pPr>
        <w:spacing w:before="0" w:after="320"/>
      </w:pPr>
      <w:r>
        <w:rPr>
          <w:rFonts w:ascii="Arial" w:cs="Arial" w:eastAsia="Arial" w:hAnsi="Arial"/>
        </w:rPr>
        <w:t xml:space="preserve"/>
      </w:r>
    </w:p>
    <w:p>
      <w:pPr>
        <w:pBdr>
          <w:bottom w:val="single" w:color="C9A84C" w:sz="12"/>
        </w:pBdr>
        <w:spacing w:before="440" w:after="60"/>
      </w:pPr>
      <w:r>
        <w:rPr>
          <w:rFonts w:ascii="Arial" w:cs="Arial" w:eastAsia="Arial" w:hAnsi="Arial"/>
          <w:b/>
          <w:bCs/>
          <w:color w:val="C9A84C"/>
          <w:sz w:val="36"/>
          <w:szCs w:val="36"/>
        </w:rPr>
        <w:t xml:space="preserve">NB-00  </w:t>
      </w:r>
      <w:r>
        <w:rPr>
          <w:rFonts w:ascii="Arial" w:cs="Arial" w:eastAsia="Arial" w:hAnsi="Arial"/>
          <w:b/>
          <w:bCs/>
          <w:color w:val="1F3864"/>
          <w:sz w:val="36"/>
          <w:szCs w:val="36"/>
        </w:rPr>
        <w:t xml:space="preserve">Turnover Baseline</w:t>
      </w:r>
    </w:p>
    <w:p>
      <w:pPr>
        <w:spacing w:before="80" w:after="320"/>
      </w:pPr>
      <w:r>
        <w:rPr>
          <w:rFonts w:ascii="Arial" w:cs="Arial" w:eastAsia="Arial" w:hAnsi="Arial"/>
          <w:i/>
          <w:iCs/>
          <w:color w:val="555555"/>
          <w:sz w:val="22"/>
          <w:szCs w:val="22"/>
        </w:rPr>
        <w:t xml:space="preserve">Establishing the Three-Benchmark Framework</w:t>
      </w:r>
    </w:p>
    <w:p>
      <w:pPr>
        <w:spacing w:before="260" w:after="100"/>
      </w:pPr>
      <w:r>
        <w:rPr>
          <w:rFonts w:ascii="Arial" w:cs="Arial" w:eastAsia="Arial" w:hAnsi="Arial"/>
          <w:b/>
          <w:bCs/>
          <w:color w:val="2E75B6"/>
          <w:sz w:val="24"/>
          <w:szCs w:val="24"/>
        </w:rPr>
        <w:t xml:space="preserve">What Was Built</w:t>
      </w:r>
    </w:p>
    <w:p>
      <w:pPr>
        <w:spacing w:before="0" w:after="160"/>
      </w:pPr>
      <w:r>
        <w:rPr>
          <w:rFonts w:ascii="Arial" w:cs="Arial" w:eastAsia="Arial" w:hAnsi="Arial"/>
          <w:color w:val="222222"/>
          <w:sz w:val="22"/>
          <w:szCs w:val="22"/>
        </w:rPr>
        <w:t xml:space="preserve">Notebook 00 defines the foundational comparison structure. Before any parameter sweep is possible, the manuscript needs a clear, defensible answer to the question: what exactly is the CRUT being compared against? Three benchmark strategies are introduced and their mechanics are implemented:</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Benchmark</w:t>
            </w:r>
          </w:p>
        </w:tc>
        <w:tc>
          <w:tcPr>
            <w:tcW w:type="dxa" w:w="4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Represents</w:t>
            </w:r>
          </w:p>
        </w:tc>
      </w:tr>
      <w:tr>
        <w:tc>
          <w:tcPr>
            <w:tcW w:type="dxa" w:w="18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Hold-Liquidation</w:t>
            </w:r>
          </w:p>
        </w:tc>
        <w:tc>
          <w:tcPr>
            <w:tcW w:type="dxa" w:w="43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Hold appreciated asset, pay CG tax only at the end of the simulation horizon</w:t>
            </w:r>
          </w:p>
        </w:tc>
        <w:tc>
          <w:tcPr>
            <w:tcW w:type="dxa" w:w="32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The tax-optimal deferral case — the hardest benchmark for the CRUT to beat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Hold-Step-Up</w:t>
            </w:r>
          </w:p>
        </w:tc>
        <w:tc>
          <w:tcPr>
            <w:tcW w:type="dxa" w:w="4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Hold asset and receive a stepped-up basis at death; no capital gains tax ever paid</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estate-planning alternative; relevant when the donor intends to pass the asset to heirs</w:t>
            </w:r>
          </w:p>
        </w:tc>
      </w:tr>
      <w:tr>
        <w:tc>
          <w:tcPr>
            <w:tcW w:type="dxa" w:w="18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Liquidation-Reinvest</w:t>
            </w:r>
          </w:p>
        </w:tc>
        <w:tc>
          <w:tcPr>
            <w:tcW w:type="dxa" w:w="43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Sell immediately, pay CG tax, reinvest after-tax proceeds in diversified portfolio</w:t>
            </w:r>
          </w:p>
        </w:tc>
        <w:tc>
          <w:tcPr>
            <w:tcW w:type="dxa" w:w="32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The most common real-world alternative — what most donors actually do</w:t>
            </w:r>
          </w:p>
        </w:tc>
      </w:tr>
    </w:tbl>
    <w:p>
      <w:pPr>
        <w:spacing w:before="0" w:after="160"/>
      </w:pPr>
      <w:r>
        <w:rPr>
          <w:rFonts w:ascii="Arial" w:cs="Arial" w:eastAsia="Arial" w:hAnsi="Arial"/>
        </w:rPr>
        <w:t xml:space="preserve"/>
      </w:r>
    </w:p>
    <w:p>
      <w:pPr>
        <w:spacing w:before="0" w:after="160"/>
      </w:pPr>
      <w:r>
        <w:rPr>
          <w:rFonts w:ascii="Arial" w:cs="Arial" w:eastAsia="Arial" w:hAnsi="Arial"/>
          <w:color w:val="222222"/>
          <w:sz w:val="22"/>
          <w:szCs w:val="22"/>
        </w:rPr>
        <w:t xml:space="preserve">Turnover levels of 0%, 20%, 40%, and 60% are introduced as the primary moderating variable. </w:t>
      </w:r>
      <w:r>
        <w:rPr>
          <w:rFonts w:ascii="Arial" w:cs="Arial" w:eastAsia="Arial" w:hAnsi="Arial"/>
          <w:color w:val="222222"/>
          <w:sz w:val="22"/>
          <w:szCs w:val="22"/>
        </w:rPr>
        <w:t xml:space="preserve">Turnover captures annual portfolio rebalancing and its associated capital gains tax drag on the benchmark. The 60% level corresponds to the original manuscript's baseline; lower levels represent more tax-efficient benchmark management.</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Critical Technical Finding: The Deduction Formula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12A2A" w:sz="8"/>
              <w:left w:val="single" w:color="A12A2A" w:sz="20"/>
              <w:bottom w:val="single" w:color="A12A2A" w:sz="1"/>
              <w:right w:val="single" w:color="A12A2A" w:sz="1"/>
            </w:tcBorders>
            <w:shd w:fill="FDEAEA" w:val="clear"/>
            <w:tcMar>
              <w:top w:type="dxa" w:w="140"/>
              <w:left w:type="dxa" w:w="200"/>
              <w:bottom w:type="dxa" w:w="140"/>
              <w:right w:type="dxa" w:w="200"/>
            </w:tcMar>
          </w:tcPr>
          <w:p>
            <w:pPr>
              <w:spacing w:before="0" w:after="80"/>
            </w:pPr>
            <w:r>
              <w:rPr>
                <w:rFonts w:ascii="Arial" w:cs="Arial" w:eastAsia="Arial" w:hAnsi="Arial"/>
                <w:b/>
                <w:bCs/>
                <w:caps/>
                <w:color w:val="A12A2A"/>
                <w:sz w:val="20"/>
                <w:szCs w:val="20"/>
              </w:rPr>
              <w:t xml:space="preserve">Bug Discovered and Fixed (Affects All Notebooks)</w:t>
            </w:r>
          </w:p>
          <w:p>
            <w:pPr>
              <w:spacing w:before="0" w:after="80"/>
            </w:pPr>
            <w:r>
              <w:rPr>
                <w:rFonts w:ascii="Arial" w:cs="Arial" w:eastAsia="Arial" w:hAnsi="Arial"/>
                <w:color w:val="111111"/>
                <w:sz w:val="21"/>
                <w:szCs w:val="21"/>
              </w:rPr>
              <w:t xml:space="preserve">Original formula:  period_rate / (i / freq)  →  produced $0 deduction</w:t>
            </w:r>
          </w:p>
          <w:p>
            <w:pPr>
              <w:spacing w:before="0" w:after="80"/>
            </w:pPr>
            <w:r>
              <w:rPr>
                <w:rFonts w:ascii="Arial" w:cs="Arial" w:eastAsia="Arial" w:hAnsi="Arial"/>
                <w:color w:val="111111"/>
                <w:sz w:val="21"/>
                <w:szCs w:val="21"/>
              </w:rPr>
              <w:t xml:space="preserve">Correct formula:   i / (freq × ((1 + i)^(1/freq) − 1))  →  produces $126,389 deduction</w:t>
            </w:r>
          </w:p>
          <w:p>
            <w:pPr>
              <w:spacing w:before="0" w:after="80"/>
            </w:pPr>
            <w:r>
              <w:rPr>
                <w:rFonts w:ascii="Arial" w:cs="Arial" w:eastAsia="Arial" w:hAnsi="Arial"/>
                <w:color w:val="111111"/>
                <w:sz w:val="21"/>
                <w:szCs w:val="21"/>
              </w:rPr>
              <w:t xml:space="preserve"/>
            </w:r>
          </w:p>
          <w:p>
            <w:pPr>
              <w:spacing w:before="0" w:after="80"/>
            </w:pPr>
            <w:r>
              <w:rPr>
                <w:rFonts w:ascii="Arial" w:cs="Arial" w:eastAsia="Arial" w:hAnsi="Arial"/>
                <w:color w:val="111111"/>
                <w:sz w:val="21"/>
                <w:szCs w:val="21"/>
              </w:rPr>
              <w:t xml:space="preserve">This is the IRS Reg. §1.664-4(e)(3) Table F adjustment. The correct formula yields a PV tax benefit of $58,518 at the baseline parameters. All win probabilities computed before this fix were conservative — the CRUT's advantage was systematically understated.</w:t>
            </w:r>
          </w:p>
          <w:p>
            <w:pPr>
              <w:spacing w:before="0" w:after="80"/>
            </w:pPr>
            <w:r>
              <w:rPr>
                <w:rFonts w:ascii="Arial" w:cs="Arial" w:eastAsia="Arial" w:hAnsi="Arial"/>
                <w:color w:val="111111"/>
                <w:sz w:val="21"/>
                <w:szCs w:val="21"/>
              </w:rPr>
              <w:t xml:space="preserve">The fix is applied uniformly in all notebooks (NB-00 through NB-06). All figures and tables in the manuscript use the corrected formula.</w:t>
            </w:r>
          </w:p>
          <w:p>
            <w:pPr>
              <w:spacing w:before="0" w:after="40"/>
            </w:pPr>
            <w:r>
              <w:rPr>
                <w:rFonts w:ascii="Arial" w:cs="Arial" w:eastAsia="Arial" w:hAnsi="Arial"/>
              </w:rPr>
              <w:t xml:space="preserve"/>
            </w:r>
          </w:p>
        </w:tc>
      </w:tr>
    </w:tbl>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Manuscript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gridSpan w:val="2"/>
            <w:tcBorders>
              <w:top w:val="single" w:color="1F3864" w:sz="8"/>
              <w:left w:val="none" w:color="FFFFFF" w:sz="0"/>
              <w:bottom w:val="single" w:color="BBBBBB" w:sz="1"/>
              <w:right w:val="none" w:color="FFFFFF" w:sz="0"/>
            </w:tcBorders>
            <w:shd w:fill="1F3864" w:val="clear"/>
            <w:tcMar>
              <w:top w:type="dxa" w:w="100"/>
              <w:left w:type="dxa" w:w="160"/>
              <w:bottom w:type="dxa" w:w="100"/>
              <w:right w:type="dxa" w:w="160"/>
            </w:tcMar>
          </w:tcPr>
          <w:p>
            <w:r>
              <w:rPr>
                <w:rFonts w:ascii="Arial" w:cs="Arial" w:eastAsia="Arial" w:hAnsi="Arial"/>
                <w:b/>
                <w:bCs/>
                <w:caps/>
                <w:color w:val="FFFFFF"/>
                <w:sz w:val="21"/>
                <w:szCs w:val="21"/>
              </w:rPr>
              <w:t xml:space="preserve">NB-00 → Manuscript Value</w:t>
            </w:r>
          </w:p>
        </w:tc>
      </w:tr>
      <w:tr>
        <w:tc>
          <w:tcPr>
            <w:tcBorders>
              <w:top w:val="none" w:color="FFFFFF" w:sz="0"/>
              <w:left w:val="none" w:color="FFFFFF" w:sz="0"/>
              <w:bottom w:val="single" w:color="BBBBBB" w:sz="1"/>
              <w:right w:val="single" w:color="BBBBBB" w:sz="1"/>
            </w:tcBorders>
            <w:shd w:fill="F4F7FB"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Methodological foundation</w:t>
            </w:r>
          </w:p>
          <w:p>
            <w:pPr>
              <w:spacing w:before="0" w:after="80"/>
            </w:pPr>
            <w:r>
              <w:rPr>
                <w:rFonts w:ascii="Arial" w:cs="Arial" w:eastAsia="Arial" w:hAnsi="Arial"/>
                <w:color w:val="222222"/>
                <w:sz w:val="21"/>
                <w:szCs w:val="21"/>
              </w:rPr>
              <w:t xml:space="preserve">The three-benchmark framework gives reviewers a clear answer to "compared to what?" — the most common criticism of CRUT performance claims.</w:t>
            </w:r>
          </w:p>
          <w:p>
            <w:pPr>
              <w:spacing w:before="0" w:after="80"/>
            </w:pPr>
            <w:r>
              <w:rPr>
                <w:rFonts w:ascii="Arial" w:cs="Arial" w:eastAsia="Arial" w:hAnsi="Arial"/>
                <w:color w:val="222222"/>
                <w:sz w:val="21"/>
                <w:szCs w:val="21"/>
              </w:rPr>
              <w:t xml:space="preserve">The hold-liquidation benchmark is the strongest possible comparison; beating it demonstrates CRUT superiority in the most conservative scenario.</w:t>
            </w:r>
          </w:p>
        </w:tc>
        <w:tc>
          <w:tcPr>
            <w:tcBorders>
              <w:top w:val="none" w:color="FFFFFF" w:sz="0"/>
              <w:left w:val="none" w:color="FFFFFF" w:sz="0"/>
              <w:bottom w:val="single" w:color="BBBBBB" w:sz="1"/>
              <w:right w:val="none" w:color="FFFFFF" w:sz="0"/>
            </w:tcBorders>
            <w:shd w:fill="FFFFFF"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Practical relevance</w:t>
            </w:r>
          </w:p>
          <w:p>
            <w:pPr>
              <w:spacing w:before="0" w:after="80"/>
            </w:pPr>
            <w:r>
              <w:rPr>
                <w:rFonts w:ascii="Arial" w:cs="Arial" w:eastAsia="Arial" w:hAnsi="Arial"/>
                <w:color w:val="222222"/>
                <w:sz w:val="21"/>
                <w:szCs w:val="21"/>
              </w:rPr>
              <w:t xml:space="preserve">The turnover sweep shows practitioners that the CRUT advantage is not binary — it scales with how tax-inefficiently the benchmark is managed. A client who turns over 40% of a taxable portfolio annually faces a meaningfully different decision than a buy-and-hold investor.</w:t>
            </w:r>
          </w:p>
          <w:p>
            <w:pPr>
              <w:spacing w:before="0" w:after="80"/>
            </w:pPr>
            <w:r>
              <w:rPr>
                <w:rFonts w:ascii="Arial" w:cs="Arial" w:eastAsia="Arial" w:hAnsi="Arial"/>
                <w:color w:val="222222"/>
                <w:sz w:val="21"/>
                <w:szCs w:val="21"/>
              </w:rPr>
              <w:t xml:space="preserve">Figure 1 (win prob vs. turnover at baseline) is the manuscript's most practitioner-facing exhibit.</w:t>
            </w:r>
          </w:p>
        </w:tc>
      </w:tr>
    </w:tbl>
    <w:p>
      <w:pPr>
        <w:spacing w:before="0" w:after="320"/>
      </w:pPr>
      <w:r>
        <w:rPr>
          <w:rFonts w:ascii="Arial" w:cs="Arial" w:eastAsia="Arial" w:hAnsi="Arial"/>
        </w:rPr>
        <w:t xml:space="preserve"/>
      </w:r>
    </w:p>
    <w:p>
      <w:pPr>
        <w:pBdr>
          <w:bottom w:val="single" w:color="C9A84C" w:sz="12"/>
        </w:pBdr>
        <w:spacing w:before="440" w:after="60"/>
      </w:pPr>
      <w:r>
        <w:rPr>
          <w:rFonts w:ascii="Arial" w:cs="Arial" w:eastAsia="Arial" w:hAnsi="Arial"/>
          <w:b/>
          <w:bCs/>
          <w:color w:val="C9A84C"/>
          <w:sz w:val="36"/>
          <w:szCs w:val="36"/>
        </w:rPr>
        <w:t xml:space="preserve">NB-01  </w:t>
      </w:r>
      <w:r>
        <w:rPr>
          <w:rFonts w:ascii="Arial" w:cs="Arial" w:eastAsia="Arial" w:hAnsi="Arial"/>
          <w:b/>
          <w:bCs/>
          <w:color w:val="1F3864"/>
          <w:sz w:val="36"/>
          <w:szCs w:val="36"/>
        </w:rPr>
        <w:t xml:space="preserve">Sensitivity Analysis</w:t>
      </w:r>
    </w:p>
    <w:p>
      <w:pPr>
        <w:spacing w:before="80" w:after="320"/>
      </w:pPr>
      <w:r>
        <w:rPr>
          <w:rFonts w:ascii="Arial" w:cs="Arial" w:eastAsia="Arial" w:hAnsi="Arial"/>
          <w:i/>
          <w:iCs/>
          <w:color w:val="555555"/>
          <w:sz w:val="22"/>
          <w:szCs w:val="22"/>
        </w:rPr>
        <w:t xml:space="preserve">One-at-a-Time Parameter Ranking</w:t>
      </w:r>
    </w:p>
    <w:p>
      <w:pPr>
        <w:spacing w:before="260" w:after="100"/>
      </w:pPr>
      <w:r>
        <w:rPr>
          <w:rFonts w:ascii="Arial" w:cs="Arial" w:eastAsia="Arial" w:hAnsi="Arial"/>
          <w:b/>
          <w:bCs/>
          <w:color w:val="2E75B6"/>
          <w:sz w:val="24"/>
          <w:szCs w:val="24"/>
        </w:rPr>
        <w:t xml:space="preserve">What Was Built</w:t>
      </w:r>
    </w:p>
    <w:p>
      <w:pPr>
        <w:spacing w:before="0" w:after="160"/>
      </w:pPr>
      <w:r>
        <w:rPr>
          <w:rFonts w:ascii="Arial" w:cs="Arial" w:eastAsia="Arial" w:hAnsi="Arial"/>
          <w:color w:val="222222"/>
          <w:sz w:val="22"/>
          <w:szCs w:val="22"/>
        </w:rPr>
        <w:t xml:space="preserve">Notebook 01 is the central methodological exhibit of the manuscript. It runs a systematic one-at-a-time (OAT) sensitivity analysis across all 12 parameters, producing the ranking table reproduced above. Each parameter is swept across its realistic planning range while all others are held at baseline. Win probability is recorded at each point. The full range (maximum minus minimum win probability) is the OAT sensitivity score.</w:t>
      </w:r>
    </w:p>
    <w:p>
      <w:pPr>
        <w:spacing w:before="0" w:after="160"/>
      </w:pPr>
      <w:r>
        <w:rPr>
          <w:rFonts w:ascii="Arial" w:cs="Arial" w:eastAsia="Arial" w:hAnsi="Arial"/>
          <w:color w:val="222222"/>
          <w:sz w:val="22"/>
          <w:szCs w:val="22"/>
        </w:rPr>
        <w:t xml:space="preserve">The OAT design — as opposed to a full factorial design — is the standard approach in practitioner-facing financial research. It produces interpretable, actionable findings: "longevity matters twice as much as asset basis" is a sentence a financial planner can use. A full factorial design would be computationally prohibitive and would produce interaction terms that are difficult to communicate to a non-specialist audience.</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Key Findings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Expected return μ (rank #1, ~55 pp) dominates all other parameters. This is the most important planning variable — and the one over which neither the donor nor the planner has control at inception. It motivates the robustness analysis in NB-06.</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Longevity (rank #2, ~39 pp) is the most important client-specific variable. It motivates the dedicated longevity analysis in NB-03.</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§7520 rate ranks last (#12, ~0 pp). This is the counterintuitive finding that practitioners most commonly disagree with. It is explained mechanically in NB-04.</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Turnover (rank #6) interacts with basis (rank #5): at zero turnover, basis is irrelevant — there is no annual tax drag regardless of embedded gain. This interaction is the economic motivation for the heatmap analyses in later notebooks.</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Manuscript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gridSpan w:val="2"/>
            <w:tcBorders>
              <w:top w:val="single" w:color="1F3864" w:sz="8"/>
              <w:left w:val="none" w:color="FFFFFF" w:sz="0"/>
              <w:bottom w:val="single" w:color="BBBBBB" w:sz="1"/>
              <w:right w:val="none" w:color="FFFFFF" w:sz="0"/>
            </w:tcBorders>
            <w:shd w:fill="1F3864" w:val="clear"/>
            <w:tcMar>
              <w:top w:type="dxa" w:w="100"/>
              <w:left w:type="dxa" w:w="160"/>
              <w:bottom w:type="dxa" w:w="100"/>
              <w:right w:type="dxa" w:w="160"/>
            </w:tcMar>
          </w:tcPr>
          <w:p>
            <w:r>
              <w:rPr>
                <w:rFonts w:ascii="Arial" w:cs="Arial" w:eastAsia="Arial" w:hAnsi="Arial"/>
                <w:b/>
                <w:bCs/>
                <w:caps/>
                <w:color w:val="FFFFFF"/>
                <w:sz w:val="21"/>
                <w:szCs w:val="21"/>
              </w:rPr>
              <w:t xml:space="preserve">NB-01 → Manuscript Value</w:t>
            </w:r>
          </w:p>
        </w:tc>
      </w:tr>
      <w:tr>
        <w:tc>
          <w:tcPr>
            <w:tcBorders>
              <w:top w:val="none" w:color="FFFFFF" w:sz="0"/>
              <w:left w:val="none" w:color="FFFFFF" w:sz="0"/>
              <w:bottom w:val="single" w:color="BBBBBB" w:sz="1"/>
              <w:right w:val="single" w:color="BBBBBB" w:sz="1"/>
            </w:tcBorders>
            <w:shd w:fill="F4F7FB"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The ranking table (reproduced as Table 1 in the manuscript) is the structural spine of the entire results section.</w:t>
            </w:r>
          </w:p>
          <w:p>
            <w:pPr>
              <w:spacing w:before="0" w:after="80"/>
            </w:pPr>
            <w:r>
              <w:rPr>
                <w:rFonts w:ascii="Arial" w:cs="Arial" w:eastAsia="Arial" w:hAnsi="Arial"/>
                <w:color w:val="222222"/>
                <w:sz w:val="21"/>
                <w:szCs w:val="21"/>
              </w:rPr>
              <w:t xml:space="preserve">Each subsequent section of the manuscript directly references this table: "Longevity, the second-ranked parameter, is now examined in detail."</w:t>
            </w:r>
          </w:p>
          <w:p>
            <w:pPr>
              <w:spacing w:before="0" w:after="80"/>
            </w:pPr>
            <w:r>
              <w:rPr>
                <w:rFonts w:ascii="Arial" w:cs="Arial" w:eastAsia="Arial" w:hAnsi="Arial"/>
                <w:color w:val="222222"/>
                <w:sz w:val="21"/>
                <w:szCs w:val="21"/>
              </w:rPr>
              <w:t xml:space="preserve">The ranking justifies the paper's scope — 12 parameters are examined because the OAT identifies them as the complete set of economically relevant inputs.</w:t>
            </w:r>
          </w:p>
        </w:tc>
        <w:tc>
          <w:tcPr>
            <w:tcBorders>
              <w:top w:val="none" w:color="FFFFFF" w:sz="0"/>
              <w:left w:val="none" w:color="FFFFFF" w:sz="0"/>
              <w:bottom w:val="single" w:color="BBBBBB" w:sz="1"/>
              <w:right w:val="none" w:color="FFFFFF" w:sz="0"/>
            </w:tcBorders>
            <w:shd w:fill="FFFFFF"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Peer review defense</w:t>
            </w:r>
          </w:p>
          <w:p>
            <w:pPr>
              <w:spacing w:before="0" w:after="80"/>
            </w:pPr>
            <w:r>
              <w:rPr>
                <w:rFonts w:ascii="Arial" w:cs="Arial" w:eastAsia="Arial" w:hAnsi="Arial"/>
                <w:color w:val="222222"/>
                <w:sz w:val="21"/>
                <w:szCs w:val="21"/>
              </w:rPr>
              <w:t xml:space="preserve">The OAT design is pre-registered in the methodology section and cited as standard practice in sensitivity analysis (Saltelli et al.). Reviewers who ask "why these parameters?" are directed to the OAT as the answer.</w:t>
            </w:r>
          </w:p>
          <w:p>
            <w:pPr>
              <w:spacing w:before="0" w:after="80"/>
            </w:pPr>
            <w:r>
              <w:rPr>
                <w:rFonts w:ascii="Arial" w:cs="Arial" w:eastAsia="Arial" w:hAnsi="Arial"/>
                <w:color w:val="222222"/>
                <w:sz w:val="21"/>
                <w:szCs w:val="21"/>
              </w:rPr>
              <w:t xml:space="preserve">The §7520 result (#12) is the manuscript's most surprising finding and will likely generate reviewer questions. NB-04 provides the mechanistic decomposition needed to defend it.</w:t>
            </w:r>
          </w:p>
        </w:tc>
      </w:tr>
    </w:tbl>
    <w:p>
      <w:pPr>
        <w:spacing w:before="0" w:after="320"/>
      </w:pPr>
      <w:r>
        <w:rPr>
          <w:rFonts w:ascii="Arial" w:cs="Arial" w:eastAsia="Arial" w:hAnsi="Arial"/>
        </w:rPr>
        <w:t xml:space="preserve"/>
      </w:r>
    </w:p>
    <w:p>
      <w:pPr>
        <w:pBdr>
          <w:bottom w:val="single" w:color="C9A84C" w:sz="12"/>
        </w:pBdr>
        <w:spacing w:before="440" w:after="60"/>
      </w:pPr>
      <w:r>
        <w:rPr>
          <w:rFonts w:ascii="Arial" w:cs="Arial" w:eastAsia="Arial" w:hAnsi="Arial"/>
          <w:b/>
          <w:bCs/>
          <w:color w:val="C9A84C"/>
          <w:sz w:val="36"/>
          <w:szCs w:val="36"/>
        </w:rPr>
        <w:t xml:space="preserve">NB-02  </w:t>
      </w:r>
      <w:r>
        <w:rPr>
          <w:rFonts w:ascii="Arial" w:cs="Arial" w:eastAsia="Arial" w:hAnsi="Arial"/>
          <w:b/>
          <w:bCs/>
          <w:color w:val="1F3864"/>
          <w:sz w:val="36"/>
          <w:szCs w:val="36"/>
        </w:rPr>
        <w:t xml:space="preserve">Benchmark Deep Dive</w:t>
      </w:r>
    </w:p>
    <w:p>
      <w:pPr>
        <w:spacing w:before="80" w:after="320"/>
      </w:pPr>
      <w:r>
        <w:rPr>
          <w:rFonts w:ascii="Arial" w:cs="Arial" w:eastAsia="Arial" w:hAnsi="Arial"/>
          <w:i/>
          <w:iCs/>
          <w:color w:val="555555"/>
          <w:sz w:val="22"/>
          <w:szCs w:val="22"/>
        </w:rPr>
        <w:t xml:space="preserve">Hold-Step-Up and Liquidation-Reinvest Mechanics</w:t>
      </w:r>
    </w:p>
    <w:p>
      <w:pPr>
        <w:spacing w:before="260" w:after="100"/>
      </w:pPr>
      <w:r>
        <w:rPr>
          <w:rFonts w:ascii="Arial" w:cs="Arial" w:eastAsia="Arial" w:hAnsi="Arial"/>
          <w:b/>
          <w:bCs/>
          <w:color w:val="2E75B6"/>
          <w:sz w:val="24"/>
          <w:szCs w:val="24"/>
        </w:rPr>
        <w:t xml:space="preserve">What Was Built</w:t>
      </w:r>
    </w:p>
    <w:p>
      <w:pPr>
        <w:spacing w:before="0" w:after="160"/>
      </w:pPr>
      <w:r>
        <w:rPr>
          <w:rFonts w:ascii="Arial" w:cs="Arial" w:eastAsia="Arial" w:hAnsi="Arial"/>
          <w:color w:val="222222"/>
          <w:sz w:val="22"/>
          <w:szCs w:val="22"/>
        </w:rPr>
        <w:t xml:space="preserve">Notebook 02 examines the two secondary benchmarks in depth. The hold-liquidation benchmark (used in NB-00 and NB-01) is the primary comparison, but the manuscript addresses two specific client populations who face different decisions: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estate-planning client who plans to hold the asset until death and pass it to heirs with a stepped-up basis under IRC §1014. For this client, the opportunity cost of the CRUT is not capital gains tax deferral but the full step-up benefit. The CRUT is a much harder sale to this client.</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liquidating client who would otherwise sell immediately and reinvest in a diversified portfolio. For this client, the CRUT offers the advantage of avoiding the immediate CG tax hit plus the ongoing deduction benefit.</w:t>
      </w:r>
    </w:p>
    <w:p>
      <w:pPr>
        <w:spacing w:before="0" w:after="120"/>
      </w:pPr>
      <w:r>
        <w:rPr>
          <w:rFonts w:ascii="Arial" w:cs="Arial" w:eastAsia="Arial" w:hAnsi="Arial"/>
        </w:rPr>
        <w:t xml:space="preserve"/>
      </w:r>
    </w:p>
    <w:p>
      <w:pPr>
        <w:spacing w:before="0" w:after="160"/>
      </w:pPr>
      <w:r>
        <w:rPr>
          <w:rFonts w:ascii="Arial" w:cs="Arial" w:eastAsia="Arial" w:hAnsi="Arial"/>
          <w:color w:val="222222"/>
          <w:sz w:val="22"/>
          <w:szCs w:val="22"/>
        </w:rPr>
        <w:t xml:space="preserve">The step-up benchmark is modeled as a hold strategy where the terminal capital gains tax is eliminated — the full pre-tax corpus passes to heirs. This is the strongest possible comparison for the CRUT. The liquidation-reinvest benchmark imposes immediate CG tax on the full embedded gain at CRUT formation, then compounds the after-tax proceeds at the portfolio return.</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Key Findings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Against the hold-step-up benchmark, the CRUT loses in the majority of scenarios at low turnover. The step-up benefit is worth too much — typically $75,000–$150,000 in forgone estate tax at baseline parameters — for the deduction and distribution advantages to overcome it.</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Against the liquidation-reinvest benchmark, the CRUT wins in the majority of scenarios across a wide range of turnover levels. The immediate CG tax cost of liquidation ($133,000–$165,000 at baseline) creates a meaningful headstart for the CRUT.</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two benchmarks produce crossing win probability curves as turnover increases. At high turnover, even the step-up benchmark becomes competitive for the CRUT because benchmark tax drag accumulates over the trust's life.</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Manuscript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gridSpan w:val="2"/>
            <w:tcBorders>
              <w:top w:val="single" w:color="1F3864" w:sz="8"/>
              <w:left w:val="none" w:color="FFFFFF" w:sz="0"/>
              <w:bottom w:val="single" w:color="BBBBBB" w:sz="1"/>
              <w:right w:val="none" w:color="FFFFFF" w:sz="0"/>
            </w:tcBorders>
            <w:shd w:fill="1F3864" w:val="clear"/>
            <w:tcMar>
              <w:top w:type="dxa" w:w="100"/>
              <w:left w:type="dxa" w:w="160"/>
              <w:bottom w:type="dxa" w:w="100"/>
              <w:right w:type="dxa" w:w="160"/>
            </w:tcMar>
          </w:tcPr>
          <w:p>
            <w:r>
              <w:rPr>
                <w:rFonts w:ascii="Arial" w:cs="Arial" w:eastAsia="Arial" w:hAnsi="Arial"/>
                <w:b/>
                <w:bCs/>
                <w:caps/>
                <w:color w:val="FFFFFF"/>
                <w:sz w:val="21"/>
                <w:szCs w:val="21"/>
              </w:rPr>
              <w:t xml:space="preserve">NB-02 → Manuscript Value</w:t>
            </w:r>
          </w:p>
        </w:tc>
      </w:tr>
      <w:tr>
        <w:tc>
          <w:tcPr>
            <w:tcBorders>
              <w:top w:val="none" w:color="FFFFFF" w:sz="0"/>
              <w:left w:val="none" w:color="FFFFFF" w:sz="0"/>
              <w:bottom w:val="single" w:color="BBBBBB" w:sz="1"/>
              <w:right w:val="single" w:color="BBBBBB" w:sz="1"/>
            </w:tcBorders>
            <w:shd w:fill="F4F7FB"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Client segmentation</w:t>
            </w:r>
          </w:p>
          <w:p>
            <w:pPr>
              <w:spacing w:before="0" w:after="80"/>
            </w:pPr>
            <w:r>
              <w:rPr>
                <w:rFonts w:ascii="Arial" w:cs="Arial" w:eastAsia="Arial" w:hAnsi="Arial"/>
                <w:color w:val="222222"/>
                <w:sz w:val="21"/>
                <w:szCs w:val="21"/>
              </w:rPr>
              <w:t xml:space="preserve">The manuscript's advice to practitioners depends critically on which benchmark is appropriate for each client.</w:t>
            </w:r>
          </w:p>
          <w:p>
            <w:pPr>
              <w:spacing w:before="0" w:after="80"/>
            </w:pPr>
            <w:r>
              <w:rPr>
                <w:rFonts w:ascii="Arial" w:cs="Arial" w:eastAsia="Arial" w:hAnsi="Arial"/>
                <w:color w:val="222222"/>
                <w:sz w:val="21"/>
                <w:szCs w:val="21"/>
              </w:rPr>
              <w:t xml:space="preserve">The step-up analysis supports the recommendation that CRUTs are poorly suited to estate-planning-oriented clients who plan to hold to death — unless the asset would otherwise generate high annual tax drag.</w:t>
            </w:r>
          </w:p>
        </w:tc>
        <w:tc>
          <w:tcPr>
            <w:tcBorders>
              <w:top w:val="none" w:color="FFFFFF" w:sz="0"/>
              <w:left w:val="none" w:color="FFFFFF" w:sz="0"/>
              <w:bottom w:val="single" w:color="BBBBBB" w:sz="1"/>
              <w:right w:val="none" w:color="FFFFFF" w:sz="0"/>
            </w:tcBorders>
            <w:shd w:fill="FFFFFF"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Practical guidance</w:t>
            </w:r>
          </w:p>
          <w:p>
            <w:pPr>
              <w:spacing w:before="0" w:after="80"/>
            </w:pPr>
            <w:r>
              <w:rPr>
                <w:rFonts w:ascii="Arial" w:cs="Arial" w:eastAsia="Arial" w:hAnsi="Arial"/>
                <w:color w:val="222222"/>
                <w:sz w:val="21"/>
                <w:szCs w:val="21"/>
              </w:rPr>
              <w:t xml:space="preserve">The liquidation-reinvest result supports the manuscript's primary affirmative claim: for the client who would otherwise sell, the CRUT is the dominant strategy across a wide range of plausible parameters.</w:t>
            </w:r>
          </w:p>
          <w:p>
            <w:pPr>
              <w:spacing w:before="0" w:after="80"/>
            </w:pPr>
            <w:r>
              <w:rPr>
                <w:rFonts w:ascii="Arial" w:cs="Arial" w:eastAsia="Arial" w:hAnsi="Arial"/>
                <w:color w:val="222222"/>
                <w:sz w:val="21"/>
                <w:szCs w:val="21"/>
              </w:rPr>
              <w:t xml:space="preserve">These two findings together define the target client profile: a donor who (a) holds a highly appreciated asset, (b) needs liquidity or income, and (c) would otherwise sell rather than hold to death.</w:t>
            </w:r>
          </w:p>
        </w:tc>
      </w:tr>
    </w:tbl>
    <w:p>
      <w:pPr>
        <w:spacing w:before="0" w:after="320"/>
      </w:pPr>
      <w:r>
        <w:rPr>
          <w:rFonts w:ascii="Arial" w:cs="Arial" w:eastAsia="Arial" w:hAnsi="Arial"/>
        </w:rPr>
        <w:t xml:space="preserve"/>
      </w:r>
    </w:p>
    <w:p>
      <w:pPr>
        <w:pBdr>
          <w:bottom w:val="single" w:color="C9A84C" w:sz="12"/>
        </w:pBdr>
        <w:spacing w:before="440" w:after="60"/>
      </w:pPr>
      <w:r>
        <w:rPr>
          <w:rFonts w:ascii="Arial" w:cs="Arial" w:eastAsia="Arial" w:hAnsi="Arial"/>
          <w:b/>
          <w:bCs/>
          <w:color w:val="C9A84C"/>
          <w:sz w:val="36"/>
          <w:szCs w:val="36"/>
        </w:rPr>
        <w:t xml:space="preserve">NB-03  </w:t>
      </w:r>
      <w:r>
        <w:rPr>
          <w:rFonts w:ascii="Arial" w:cs="Arial" w:eastAsia="Arial" w:hAnsi="Arial"/>
          <w:b/>
          <w:bCs/>
          <w:color w:val="1F3864"/>
          <w:sz w:val="36"/>
          <w:szCs w:val="36"/>
        </w:rPr>
        <w:t xml:space="preserve">Longevity Analysis</w:t>
      </w:r>
    </w:p>
    <w:p>
      <w:pPr>
        <w:spacing w:before="80" w:after="320"/>
      </w:pPr>
      <w:r>
        <w:rPr>
          <w:rFonts w:ascii="Arial" w:cs="Arial" w:eastAsia="Arial" w:hAnsi="Arial"/>
          <w:i/>
          <w:iCs/>
          <w:color w:val="555555"/>
          <w:sz w:val="22"/>
          <w:szCs w:val="22"/>
        </w:rPr>
        <w:t xml:space="preserve">The #2 Parameter — Detailed Examination</w:t>
      </w:r>
    </w:p>
    <w:p>
      <w:pPr>
        <w:spacing w:before="260" w:after="100"/>
      </w:pPr>
      <w:r>
        <w:rPr>
          <w:rFonts w:ascii="Arial" w:cs="Arial" w:eastAsia="Arial" w:hAnsi="Arial"/>
          <w:b/>
          <w:bCs/>
          <w:color w:val="2E75B6"/>
          <w:sz w:val="24"/>
          <w:szCs w:val="24"/>
        </w:rPr>
        <w:t xml:space="preserve">What Was Built</w:t>
      </w:r>
    </w:p>
    <w:p>
      <w:pPr>
        <w:spacing w:before="0" w:after="160"/>
      </w:pPr>
      <w:r>
        <w:rPr>
          <w:rFonts w:ascii="Arial" w:cs="Arial" w:eastAsia="Arial" w:hAnsi="Arial"/>
          <w:color w:val="222222"/>
          <w:sz w:val="22"/>
          <w:szCs w:val="22"/>
        </w:rPr>
        <w:t xml:space="preserve">Notebook 03 is the dedicated treatment of longevity — ranked #2 in the OAT with a 39 pp range. Five sections with six figures examine longevity from every clinically relevant angle:</w:t>
      </w:r>
    </w:p>
    <w:tbl>
      <w:tblPr>
        <w:tblW w:type="dxa" w:w="6860"/>
        <w:tblBorders>
          <w:top w:val="single" w:color="auto" w:sz="4"/>
          <w:left w:val="single" w:color="auto" w:sz="4"/>
          <w:bottom w:val="single" w:color="auto" w:sz="4"/>
          <w:right w:val="single" w:color="auto" w:sz="4"/>
          <w:insideH w:val="single" w:color="auto" w:sz="4"/>
          <w:insideV w:val="single" w:color="auto" w:sz="4"/>
        </w:tblBorders>
      </w:tblPr>
      <w:tblGrid>
        <w:gridCol w:w="540"/>
        <w:gridCol w:w="2800"/>
        <w:gridCol w:w="3520"/>
      </w:tblGrid>
      <w:tr>
        <w:tc>
          <w:tcPr>
            <w:tcW w:type="dxa" w:w="5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Figure</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Analysis</w:t>
            </w:r>
          </w:p>
        </w:tc>
        <w:tc>
          <w:tcPr>
            <w:tcW w:type="dxa" w:w="3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Clinical Question Answered</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 1</w:t>
            </w:r>
          </w:p>
        </w:tc>
        <w:tc>
          <w:tcPr>
            <w:tcW w:type="dxa" w:w="28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Longevity adjustment sweep (−10 to +15 yr)</w:t>
            </w:r>
          </w:p>
        </w:tc>
        <w:tc>
          <w:tcPr>
            <w:tcW w:type="dxa" w:w="35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What if this client lives longer/shorter than IRS tables predict?</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 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Starting age sweep (45–75)</w:t>
            </w:r>
          </w:p>
        </w:tc>
        <w:tc>
          <w:tcPr>
            <w:tcW w:type="dxa" w:w="3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 is the optimal donor age for CRUT formation?</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 3</w:t>
            </w:r>
          </w:p>
        </w:tc>
        <w:tc>
          <w:tcPr>
            <w:tcW w:type="dxa" w:w="28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Age drivers decomposition</w:t>
            </w:r>
          </w:p>
        </w:tc>
        <w:tc>
          <w:tcPr>
            <w:tcW w:type="dxa" w:w="35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Why is the age curve non-monotonic? (competing horizon vs. deduction effects)</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 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Single life vs. two life</w:t>
            </w:r>
          </w:p>
        </w:tc>
        <w:tc>
          <w:tcPr>
            <w:tcW w:type="dxa" w:w="3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 much does adding a second beneficiary change the economics?</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 5</w:t>
            </w:r>
          </w:p>
        </w:tc>
        <w:tc>
          <w:tcPr>
            <w:tcW w:type="dxa" w:w="28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Longevity × return interaction heatmap</w:t>
            </w:r>
          </w:p>
        </w:tc>
        <w:tc>
          <w:tcPr>
            <w:tcW w:type="dxa" w:w="35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Do longevity and return expectations interact or operate independently?</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 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Four archetypal client profiles</w:t>
            </w:r>
          </w:p>
        </w:tc>
        <w:tc>
          <w:tcPr>
            <w:tcW w:type="dxa" w:w="3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 does this mean for the young couple, the baseline couple, the older couple, and the healthy baseline?</w:t>
            </w:r>
          </w:p>
        </w:tc>
      </w:tr>
    </w:tbl>
    <w:p>
      <w:pPr>
        <w:spacing w:before="0" w:after="16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Key Findings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Longer longevity monotonically increases win probability. Each additional year beyond IRS expectancy adds CRUT distributions while extending the horizon over which the benchmark accumulates deferred tax drag. The effect is approximately linear in the central range.</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age curve (Fig 2) is non-monotonic. Younger donors have longer expected horizons (favors CRUT) but smaller deductions (disfavors CRUT — the remainder factor is compressed by longer expected payouts). The optimum is in the mid-50s to early 60s depending on turnover level.</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Adding a second beneficiary extends the joint horizon (favors CRUT) but further compresses the deduction (disfavors CRUT). The net advantage of Two Life over Single Life is modest — typically 3–8 pp — but it exists across almost all age combinations.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longevity × return interaction heatmap (Fig 5) shows a curved 50% contour, confirming that the two parameters interact: at high expected returns, additional years of longevity are more valuable because the benchmark's compounding power increases with each year added to the horizon.</w:t>
      </w:r>
    </w:p>
    <w:p>
      <w:pPr>
        <w:spacing w:before="0"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single" w:color="C9A84C" w:sz="20"/>
              <w:bottom w:val="single" w:color="C9A84C" w:sz="1"/>
              <w:right w:val="single" w:color="C9A84C" w:sz="1"/>
            </w:tcBorders>
            <w:shd w:fill="FFF8E7" w:val="clear"/>
            <w:tcMar>
              <w:top w:type="dxa" w:w="140"/>
              <w:left w:type="dxa" w:w="200"/>
              <w:bottom w:type="dxa" w:w="140"/>
              <w:right w:type="dxa" w:w="200"/>
            </w:tcMar>
          </w:tcPr>
          <w:p>
            <w:pPr>
              <w:spacing w:before="0" w:after="80"/>
            </w:pPr>
            <w:r>
              <w:rPr>
                <w:rFonts w:ascii="Arial" w:cs="Arial" w:eastAsia="Arial" w:hAnsi="Arial"/>
                <w:b/>
                <w:bCs/>
                <w:caps/>
                <w:color w:val="C9A84C"/>
                <w:sz w:val="20"/>
                <w:szCs w:val="20"/>
              </w:rPr>
              <w:t xml:space="preserve">Editorial Note: Adverse Selection Framing</w:t>
            </w:r>
          </w:p>
          <w:p>
            <w:pPr>
              <w:spacing w:before="0" w:after="80"/>
            </w:pPr>
            <w:r>
              <w:rPr>
                <w:rFonts w:ascii="Arial" w:cs="Arial" w:eastAsia="Arial" w:hAnsi="Arial"/>
                <w:color w:val="111111"/>
                <w:sz w:val="21"/>
                <w:szCs w:val="21"/>
              </w:rPr>
              <w:t xml:space="preserve">Longevity adjustment is presented as a planning scenario analysis, not a population claim. The notebook explicitly avoids stating that CRUT donors are healthier than the general population (adverse selection), though this is documented in the annuities literature.</w:t>
            </w:r>
          </w:p>
          <w:p>
            <w:pPr>
              <w:spacing w:before="0" w:after="80"/>
            </w:pPr>
            <w:r>
              <w:rPr>
                <w:rFonts w:ascii="Arial" w:cs="Arial" w:eastAsia="Arial" w:hAnsi="Arial"/>
                <w:color w:val="111111"/>
                <w:sz w:val="21"/>
                <w:szCs w:val="21"/>
              </w:rPr>
              <w:t xml:space="preserve">The framing used: "Given that a client enters a CRUT, how does win probability change if the client lives longer than IRS tables predict?" This is both honest (no unsupported population claim) and clinically useful (practitioners can apply it to clients with known health status or family history).</w:t>
            </w:r>
          </w:p>
          <w:p>
            <w:pPr>
              <w:spacing w:before="0" w:after="80"/>
            </w:pPr>
            <w:r>
              <w:rPr>
                <w:rFonts w:ascii="Arial" w:cs="Arial" w:eastAsia="Arial" w:hAnsi="Arial"/>
                <w:color w:val="111111"/>
                <w:sz w:val="21"/>
                <w:szCs w:val="21"/>
              </w:rPr>
              <w:t xml:space="preserve">The healthy baseline profile (+7 yr adjustment, consistent with annuitant mortality literature) is labeled as a "planning sensitivity check" throughout.</w:t>
            </w:r>
          </w:p>
          <w:p>
            <w:pPr>
              <w:spacing w:before="0" w:after="40"/>
            </w:pPr>
            <w:r>
              <w:rPr>
                <w:rFonts w:ascii="Arial" w:cs="Arial" w:eastAsia="Arial" w:hAnsi="Arial"/>
              </w:rPr>
              <w:t xml:space="preserve"/>
            </w:r>
          </w:p>
        </w:tc>
      </w:tr>
    </w:tbl>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Manuscript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gridSpan w:val="2"/>
            <w:tcBorders>
              <w:top w:val="single" w:color="1F3864" w:sz="8"/>
              <w:left w:val="none" w:color="FFFFFF" w:sz="0"/>
              <w:bottom w:val="single" w:color="BBBBBB" w:sz="1"/>
              <w:right w:val="none" w:color="FFFFFF" w:sz="0"/>
            </w:tcBorders>
            <w:shd w:fill="1F3864" w:val="clear"/>
            <w:tcMar>
              <w:top w:type="dxa" w:w="100"/>
              <w:left w:type="dxa" w:w="160"/>
              <w:bottom w:type="dxa" w:w="100"/>
              <w:right w:type="dxa" w:w="160"/>
            </w:tcMar>
          </w:tcPr>
          <w:p>
            <w:r>
              <w:rPr>
                <w:rFonts w:ascii="Arial" w:cs="Arial" w:eastAsia="Arial" w:hAnsi="Arial"/>
                <w:b/>
                <w:bCs/>
                <w:caps/>
                <w:color w:val="FFFFFF"/>
                <w:sz w:val="21"/>
                <w:szCs w:val="21"/>
              </w:rPr>
              <w:t xml:space="preserve">NB-03 → Manuscript Value</w:t>
            </w:r>
          </w:p>
        </w:tc>
      </w:tr>
      <w:tr>
        <w:tc>
          <w:tcPr>
            <w:tcBorders>
              <w:top w:val="none" w:color="FFFFFF" w:sz="0"/>
              <w:left w:val="none" w:color="FFFFFF" w:sz="0"/>
              <w:bottom w:val="single" w:color="BBBBBB" w:sz="1"/>
              <w:right w:val="single" w:color="BBBBBB" w:sz="1"/>
            </w:tcBorders>
            <w:shd w:fill="F4F7FB"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The longevity analysis answers the question every planner asks: "My client is in excellent health and expects to live to 95 — does that change the analysis?" The answer is yes, materially, and Fig 1 quantifies it.</w:t>
            </w:r>
          </w:p>
          <w:p>
            <w:pPr>
              <w:spacing w:before="0" w:after="80"/>
            </w:pPr>
            <w:r>
              <w:rPr>
                <w:rFonts w:ascii="Arial" w:cs="Arial" w:eastAsia="Arial" w:hAnsi="Arial"/>
                <w:color w:val="222222"/>
                <w:sz w:val="21"/>
                <w:szCs w:val="21"/>
              </w:rPr>
              <w:t xml:space="preserve">The age curve in Fig 2 supports a concrete recommendation: for otherwise equivalent clients, earlier formation (mid-50s to early 60s) tends to maximize the CRUT advantage.</w:t>
            </w:r>
          </w:p>
        </w:tc>
        <w:tc>
          <w:tcPr>
            <w:tcBorders>
              <w:top w:val="none" w:color="FFFFFF" w:sz="0"/>
              <w:left w:val="none" w:color="FFFFFF" w:sz="0"/>
              <w:bottom w:val="single" w:color="BBBBBB" w:sz="1"/>
              <w:right w:val="none" w:color="FFFFFF" w:sz="0"/>
            </w:tcBorders>
            <w:shd w:fill="FFFFFF"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The four archetypal profiles in Fig 6 are ready to use as manuscript tables or sidebars — they show a practicing attorney or financial planner exactly how to apply the analysis to a specific client.</w:t>
            </w:r>
          </w:p>
          <w:p>
            <w:pPr>
              <w:spacing w:before="0" w:after="80"/>
            </w:pPr>
            <w:r>
              <w:rPr>
                <w:rFonts w:ascii="Arial" w:cs="Arial" w:eastAsia="Arial" w:hAnsi="Arial"/>
                <w:color w:val="222222"/>
                <w:sz w:val="21"/>
                <w:szCs w:val="21"/>
              </w:rPr>
              <w:t xml:space="preserve">The longevity × return interaction in Fig 5 supports the manuscript's recommendation to consider the client's investment strategy when evaluating CRUT suitability — the two variables compound each other.</w:t>
            </w:r>
          </w:p>
        </w:tc>
      </w:tr>
    </w:tbl>
    <w:p>
      <w:pPr>
        <w:spacing w:before="0" w:after="320"/>
      </w:pPr>
      <w:r>
        <w:rPr>
          <w:rFonts w:ascii="Arial" w:cs="Arial" w:eastAsia="Arial" w:hAnsi="Arial"/>
        </w:rPr>
        <w:t xml:space="preserve"/>
      </w:r>
    </w:p>
    <w:p>
      <w:pPr>
        <w:pBdr>
          <w:bottom w:val="single" w:color="C9A84C" w:sz="12"/>
        </w:pBdr>
        <w:spacing w:before="440" w:after="60"/>
      </w:pPr>
      <w:r>
        <w:rPr>
          <w:rFonts w:ascii="Arial" w:cs="Arial" w:eastAsia="Arial" w:hAnsi="Arial"/>
          <w:b/>
          <w:bCs/>
          <w:color w:val="C9A84C"/>
          <w:sz w:val="36"/>
          <w:szCs w:val="36"/>
        </w:rPr>
        <w:t xml:space="preserve">NB-04  </w:t>
      </w:r>
      <w:r>
        <w:rPr>
          <w:rFonts w:ascii="Arial" w:cs="Arial" w:eastAsia="Arial" w:hAnsi="Arial"/>
          <w:b/>
          <w:bCs/>
          <w:color w:val="1F3864"/>
          <w:sz w:val="36"/>
          <w:szCs w:val="36"/>
        </w:rPr>
        <w:t xml:space="preserve">Payout Rate and §7520 Rate</w:t>
      </w:r>
    </w:p>
    <w:p>
      <w:pPr>
        <w:spacing w:before="80" w:after="320"/>
      </w:pPr>
      <w:r>
        <w:rPr>
          <w:rFonts w:ascii="Arial" w:cs="Arial" w:eastAsia="Arial" w:hAnsi="Arial"/>
          <w:i/>
          <w:iCs/>
          <w:color w:val="555555"/>
          <w:sz w:val="22"/>
          <w:szCs w:val="22"/>
        </w:rPr>
        <w:t xml:space="preserve">The Design Choice and the Counterintuitive Finding</w:t>
      </w:r>
    </w:p>
    <w:p>
      <w:pPr>
        <w:spacing w:before="260" w:after="100"/>
      </w:pPr>
      <w:r>
        <w:rPr>
          <w:rFonts w:ascii="Arial" w:cs="Arial" w:eastAsia="Arial" w:hAnsi="Arial"/>
          <w:b/>
          <w:bCs/>
          <w:color w:val="2E75B6"/>
          <w:sz w:val="24"/>
          <w:szCs w:val="24"/>
        </w:rPr>
        <w:t xml:space="preserve">What Was Built</w:t>
      </w:r>
    </w:p>
    <w:p>
      <w:pPr>
        <w:spacing w:before="0" w:after="160"/>
      </w:pPr>
      <w:r>
        <w:rPr>
          <w:rFonts w:ascii="Arial" w:cs="Arial" w:eastAsia="Arial" w:hAnsi="Arial"/>
          <w:color w:val="222222"/>
          <w:sz w:val="22"/>
          <w:szCs w:val="22"/>
        </w:rPr>
        <w:t xml:space="preserve">Notebook 04 examines two parameters with contrasting significance: the payout rate (ranked #4, ~29 pp range) and the §7520 rate (ranked #12, ~0 pp range). They are paired because they are both set at trust inception and because their contrasting rankings tell a coherent economic story about how the IRS valuation framework is internally consistent.</w:t>
      </w:r>
    </w:p>
    <w:p>
      <w:pPr>
        <w:spacing w:before="0" w:after="8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The Payout Rate — Interior Optimum</w:t>
      </w:r>
    </w:p>
    <w:p>
      <w:pPr>
        <w:spacing w:before="0" w:after="160"/>
      </w:pPr>
      <w:r>
        <w:rPr>
          <w:rFonts w:ascii="Arial" w:cs="Arial" w:eastAsia="Arial" w:hAnsi="Arial"/>
          <w:color w:val="222222"/>
          <w:sz w:val="22"/>
          <w:szCs w:val="22"/>
        </w:rPr>
        <w:t xml:space="preserve">The payout rate has two simultaneous and opposing effects on the deduction. Higher payout means more distributions to beneficiaries (favorable), but the higher payout also reduces the IRS remainder factor R — the fraction of the trust's expected corpus that the charity is expected to receive. As R falls, the charitable deduction falls. Near the IRC §664 10% remainder test ceiling (the maximum payout rate at which the trust still qualifies as a charitable remainder trust), the deduction approaches zero.</w:t>
      </w:r>
    </w:p>
    <w:p>
      <w:pPr>
        <w:spacing w:before="0" w:after="160"/>
      </w:pPr>
      <w:r>
        <w:rPr>
          <w:rFonts w:ascii="Arial" w:cs="Arial" w:eastAsia="Arial" w:hAnsi="Arial"/>
          <w:color w:val="222222"/>
          <w:sz w:val="22"/>
          <w:szCs w:val="22"/>
        </w:rPr>
        <w:t xml:space="preserve">The result is a </w:t>
      </w:r>
      <w:r>
        <w:rPr>
          <w:rFonts w:ascii="Arial" w:cs="Arial" w:eastAsia="Arial" w:hAnsi="Arial"/>
          <w:b/>
          <w:bCs/>
          <w:color w:val="2E75B6"/>
          <w:sz w:val="22"/>
          <w:szCs w:val="22"/>
        </w:rPr>
        <w:t xml:space="preserve">non-monotonic relationship</w:t>
      </w:r>
      <w:r>
        <w:rPr>
          <w:rFonts w:ascii="Arial" w:cs="Arial" w:eastAsia="Arial" w:hAnsi="Arial"/>
          <w:color w:val="222222"/>
          <w:sz w:val="22"/>
          <w:szCs w:val="22"/>
        </w:rPr>
        <w:t xml:space="preserve"> between payout rate and win probability — there is an interior maximum within the permissible range. This is the manuscript's central design recommendation: the payout rate should be set to maximize win probability, not to maximize income to beneficiaries (which would push toward the ceiling) and not to maximize the deduction (which would push toward the 5% minimum).</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The §7520 Rate — Near-Zero Net Effect</w:t>
      </w:r>
    </w:p>
    <w:p>
      <w:pPr>
        <w:spacing w:before="0" w:after="160"/>
      </w:pPr>
      <w:r>
        <w:rPr>
          <w:rFonts w:ascii="Arial" w:cs="Arial" w:eastAsia="Arial" w:hAnsi="Arial"/>
          <w:color w:val="222222"/>
          <w:sz w:val="22"/>
          <w:szCs w:val="22"/>
        </w:rPr>
        <w:t xml:space="preserve">The §7520 rate affects the CRUT economics through two channels that operate in opposing directions with nearly equal magnitude:</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Deduction channel (positive): higher §7520 rate → larger Table F factor → smaller adjusted payout → higher remainder factor R → larger deduction. PV of deduction tax benefit rises with the §7520 rate.</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Discount rate channel (negative): the §7520 rate is also used as the discount rate for present-valuing future distributions. Higher discount rate → each future distribution is worth less in PV terms today. Mean PV of distribution stream falls with the §7520 rate.</w:t>
      </w:r>
    </w:p>
    <w:p>
      <w:pPr>
        <w:spacing w:before="0" w:after="160"/>
      </w:pPr>
      <w:r>
        <w:rPr>
          <w:rFonts w:ascii="Arial" w:cs="Arial" w:eastAsia="Arial" w:hAnsi="Arial"/>
          <w:color w:val="222222"/>
          <w:sz w:val="22"/>
          <w:szCs w:val="22"/>
        </w:rPr>
        <w:t xml:space="preserve">These two effects nearly exactly cancel because they operate over the same time horizon via the same present-value mechanism. The IRS designed the §7520 rate to be internally consistent — it is supposed to be the appropriate actuarial discount rate for these transfers — and this consistency produces the cancellation. The manuscript uses this finding to explicitly correct the common practitioner belief that "higher §7520 rates are always better for CRUTs."</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Manuscript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gridSpan w:val="2"/>
            <w:tcBorders>
              <w:top w:val="single" w:color="1F3864" w:sz="8"/>
              <w:left w:val="none" w:color="FFFFFF" w:sz="0"/>
              <w:bottom w:val="single" w:color="BBBBBB" w:sz="1"/>
              <w:right w:val="none" w:color="FFFFFF" w:sz="0"/>
            </w:tcBorders>
            <w:shd w:fill="1F3864" w:val="clear"/>
            <w:tcMar>
              <w:top w:type="dxa" w:w="100"/>
              <w:left w:type="dxa" w:w="160"/>
              <w:bottom w:type="dxa" w:w="100"/>
              <w:right w:type="dxa" w:w="160"/>
            </w:tcMar>
          </w:tcPr>
          <w:p>
            <w:r>
              <w:rPr>
                <w:rFonts w:ascii="Arial" w:cs="Arial" w:eastAsia="Arial" w:hAnsi="Arial"/>
                <w:b/>
                <w:bCs/>
                <w:caps/>
                <w:color w:val="FFFFFF"/>
                <w:sz w:val="21"/>
                <w:szCs w:val="21"/>
              </w:rPr>
              <w:t xml:space="preserve">NB-04 → Manuscript Value</w:t>
            </w:r>
          </w:p>
        </w:tc>
      </w:tr>
      <w:tr>
        <w:tc>
          <w:tcPr>
            <w:tcBorders>
              <w:top w:val="none" w:color="FFFFFF" w:sz="0"/>
              <w:left w:val="none" w:color="FFFFFF" w:sz="0"/>
              <w:bottom w:val="single" w:color="BBBBBB" w:sz="1"/>
              <w:right w:val="single" w:color="BBBBBB" w:sz="1"/>
            </w:tcBorders>
            <w:shd w:fill="F4F7FB"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Payout rate guidance</w:t>
            </w:r>
          </w:p>
          <w:p>
            <w:pPr>
              <w:spacing w:before="0" w:after="80"/>
            </w:pPr>
            <w:r>
              <w:rPr>
                <w:rFonts w:ascii="Arial" w:cs="Arial" w:eastAsia="Arial" w:hAnsi="Arial"/>
                <w:color w:val="222222"/>
                <w:sz w:val="21"/>
                <w:szCs w:val="21"/>
              </w:rPr>
              <w:t xml:space="preserve">Figure 1 (win prob vs. payout rate with 10% test boundary shown) is a direct planning tool. For a Two Life 63/65 trust at a 5% §7520 rate, the win-probability-maximizing payout rate is identified for all four turnover levels.</w:t>
            </w:r>
          </w:p>
          <w:p>
            <w:pPr>
              <w:spacing w:before="0" w:after="80"/>
            </w:pPr>
            <w:r>
              <w:rPr>
                <w:rFonts w:ascii="Arial" w:cs="Arial" w:eastAsia="Arial" w:hAnsi="Arial"/>
                <w:color w:val="222222"/>
                <w:sz w:val="21"/>
                <w:szCs w:val="21"/>
              </w:rPr>
              <w:t xml:space="preserve">Figure 4 (optimal payout vs. age) provides an age-indexed table that a practitioner can reference when drafting the trust instrument.</w:t>
            </w:r>
          </w:p>
        </w:tc>
        <w:tc>
          <w:tcPr>
            <w:tcBorders>
              <w:top w:val="none" w:color="FFFFFF" w:sz="0"/>
              <w:left w:val="none" w:color="FFFFFF" w:sz="0"/>
              <w:bottom w:val="single" w:color="BBBBBB" w:sz="1"/>
              <w:right w:val="none" w:color="FFFFFF" w:sz="0"/>
            </w:tcBorders>
            <w:shd w:fill="FFFFFF"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§7520 rate guidance</w:t>
            </w:r>
          </w:p>
          <w:p>
            <w:pPr>
              <w:spacing w:before="0" w:after="80"/>
            </w:pPr>
            <w:r>
              <w:rPr>
                <w:rFonts w:ascii="Arial" w:cs="Arial" w:eastAsia="Arial" w:hAnsi="Arial"/>
                <w:color w:val="222222"/>
                <w:sz w:val="21"/>
                <w:szCs w:val="21"/>
              </w:rPr>
              <w:t xml:space="preserve">The three-condition experimental design in Figures 5–6 (both rates vary vs. deduction-only vs. discounting-only) provides the mechanistic decomposition reviewers will demand.</w:t>
            </w:r>
          </w:p>
          <w:p>
            <w:pPr>
              <w:spacing w:before="0" w:after="80"/>
            </w:pPr>
            <w:r>
              <w:rPr>
                <w:rFonts w:ascii="Arial" w:cs="Arial" w:eastAsia="Arial" w:hAnsi="Arial"/>
                <w:color w:val="222222"/>
                <w:sz w:val="21"/>
                <w:szCs w:val="21"/>
              </w:rPr>
              <w:t xml:space="preserve">The planning implication — do not time CRUT formation around §7520 rate levels — is one of the manuscript's most actionable and counterintuitive recommendations, supported by the decomposition figures.</w:t>
            </w:r>
          </w:p>
        </w:tc>
      </w:tr>
    </w:tbl>
    <w:p>
      <w:pPr>
        <w:spacing w:before="0" w:after="320"/>
      </w:pPr>
      <w:r>
        <w:rPr>
          <w:rFonts w:ascii="Arial" w:cs="Arial" w:eastAsia="Arial" w:hAnsi="Arial"/>
        </w:rPr>
        <w:t xml:space="preserve"/>
      </w:r>
    </w:p>
    <w:p>
      <w:pPr>
        <w:pBdr>
          <w:bottom w:val="single" w:color="C9A84C" w:sz="12"/>
        </w:pBdr>
        <w:spacing w:before="440" w:after="60"/>
      </w:pPr>
      <w:r>
        <w:rPr>
          <w:rFonts w:ascii="Arial" w:cs="Arial" w:eastAsia="Arial" w:hAnsi="Arial"/>
          <w:b/>
          <w:bCs/>
          <w:color w:val="C9A84C"/>
          <w:sz w:val="36"/>
          <w:szCs w:val="36"/>
        </w:rPr>
        <w:t xml:space="preserve">NB-05  </w:t>
      </w:r>
      <w:r>
        <w:rPr>
          <w:rFonts w:ascii="Arial" w:cs="Arial" w:eastAsia="Arial" w:hAnsi="Arial"/>
          <w:b/>
          <w:bCs/>
          <w:color w:val="1F3864"/>
          <w:sz w:val="36"/>
          <w:szCs w:val="36"/>
        </w:rPr>
        <w:t xml:space="preserve">State Tax Sweep</w:t>
      </w:r>
    </w:p>
    <w:p>
      <w:pPr>
        <w:spacing w:before="80" w:after="320"/>
      </w:pPr>
      <w:r>
        <w:rPr>
          <w:rFonts w:ascii="Arial" w:cs="Arial" w:eastAsia="Arial" w:hAnsi="Arial"/>
          <w:i/>
          <w:iCs/>
          <w:color w:val="555555"/>
          <w:sz w:val="22"/>
          <w:szCs w:val="22"/>
        </w:rPr>
        <w:t xml:space="preserve">National Practice Implications</w:t>
      </w:r>
    </w:p>
    <w:p>
      <w:pPr>
        <w:spacing w:before="260" w:after="100"/>
      </w:pPr>
      <w:r>
        <w:rPr>
          <w:rFonts w:ascii="Arial" w:cs="Arial" w:eastAsia="Arial" w:hAnsi="Arial"/>
          <w:b/>
          <w:bCs/>
          <w:color w:val="2E75B6"/>
          <w:sz w:val="24"/>
          <w:szCs w:val="24"/>
        </w:rPr>
        <w:t xml:space="preserve">What Was Built</w:t>
      </w:r>
    </w:p>
    <w:p>
      <w:pPr>
        <w:spacing w:before="0" w:after="160"/>
      </w:pPr>
      <w:r>
        <w:rPr>
          <w:rFonts w:ascii="Arial" w:cs="Arial" w:eastAsia="Arial" w:hAnsi="Arial"/>
          <w:color w:val="222222"/>
          <w:sz w:val="22"/>
          <w:szCs w:val="22"/>
        </w:rPr>
        <w:t xml:space="preserve">Notebook 05 extends the analysis from its California baseline to the full spectrum of U.S. state income tax environments. The manuscript is submitted to the Journal of Financial Planning — a national publication — but the baseline uses California rates (9.3% ordinary, 9.3% capital gains). This notebook justifies the use of California rates as representative and quantifies how much the findings change for practitioners in other states.</w:t>
      </w:r>
    </w:p>
    <w:p>
      <w:pPr>
        <w:spacing w:before="0" w:after="160"/>
      </w:pPr>
      <w:r>
        <w:rPr>
          <w:rFonts w:ascii="Arial" w:cs="Arial" w:eastAsia="Arial" w:hAnsi="Arial"/>
          <w:color w:val="222222"/>
          <w:sz w:val="22"/>
          <w:szCs w:val="22"/>
        </w:rPr>
        <w:t xml:space="preserve">Eleven representative states are modeled, ranging from no-tax states (TX, FL, NV) to California's top bracket (13.3%). Hawaii is modeled separately because it has a preferential capital gains rate (7.25% vs. 11% ordinary), illustrating a structurally distinct tax environment.</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The Three-Channel Framework</w:t>
      </w:r>
    </w:p>
    <w:p>
      <w:pPr>
        <w:spacing w:before="0" w:after="160"/>
      </w:pPr>
      <w:r>
        <w:rPr>
          <w:rFonts w:ascii="Arial" w:cs="Arial" w:eastAsia="Arial" w:hAnsi="Arial"/>
          <w:color w:val="222222"/>
          <w:sz w:val="22"/>
          <w:szCs w:val="22"/>
        </w:rPr>
        <w:t xml:space="preserve">State taxes affect the CRUT comparison through three channels that operate in different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200"/>
        <w:gridCol w:w="1200"/>
        <w:gridCol w:w="4200"/>
      </w:tblGrid>
      <w:tr>
        <w:tc>
          <w:tcPr>
            <w:tcW w:type="dxa" w:w="1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Channel</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Mechanism</w:t>
            </w:r>
          </w:p>
        </w:tc>
      </w:tr>
      <w:tr>
        <w:tc>
          <w:tcPr>
            <w:tcW w:type="dxa" w:w="17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Ch1 — Benchmark drag</w:t>
            </w:r>
          </w:p>
        </w:tc>
        <w:tc>
          <w:tcPr>
            <w:tcW w:type="dxa" w:w="2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State CG rate applied to annual benchmark turnover</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Favors CRUT</w:t>
            </w:r>
          </w:p>
        </w:tc>
        <w:tc>
          <w:tcPr>
            <w:tcW w:type="dxa" w:w="4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Higher state rate → more annual drag on benchmark → CRUT more competitive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Ch2 — Distribution tax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State ordinary rate applied to CRUT distributions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Disfavors CRUT</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Higher state rate → distributions worth less → CRUT less valuable</w:t>
            </w:r>
          </w:p>
        </w:tc>
      </w:tr>
      <w:tr>
        <w:tc>
          <w:tcPr>
            <w:tcW w:type="dxa" w:w="17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Ch3 — Deduction value</w:t>
            </w:r>
          </w:p>
        </w:tc>
        <w:tc>
          <w:tcPr>
            <w:tcW w:type="dxa" w:w="2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State ordinary rate applied to deduction savings</w:t>
            </w:r>
          </w:p>
        </w:tc>
        <w:tc>
          <w:tcPr>
            <w:tcW w:type="dxa" w:w="1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Favors CRUT</w:t>
            </w:r>
          </w:p>
        </w:tc>
        <w:tc>
          <w:tcPr>
            <w:tcW w:type="dxa" w:w="42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Higher state rate → deduction saves more tax → larger PV tax benefit</w:t>
            </w:r>
          </w:p>
        </w:tc>
      </w:tr>
    </w:tbl>
    <w:p>
      <w:pPr>
        <w:spacing w:before="0" w:after="16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Key Findings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net effect of state taxes is positive for the CRUT: higher state rates favor the CRUT. Channels 1 and 3 together outweigh Channel 2 across the full realistic range of state rates. Win probability increases monotonically with state tax rate at all four turnover levels.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California 9.3% baseline adds approximately 8–14 pp of win probability compared to a no-tax state, depending on turnover level. This means California practitioners have a stronger case for CRUT than their Texas counterparts.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States with preferential capital gains rates (Hawaii) are meaningfully different from uniform-rate states: Ch1 is weakened because the benchmark's annual drag is reduced, while Ch2 operates at the full ordinary rate. Net effect: preferential CG rates weaken the CRUT's competitive position by 3–6 pp.</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The state rate × basis heatmap (Fig 4) shows that high-state-rate jurisdictions reach the 50% win probability threshold at higher basis fractions — meaning the CRUT is viable for assets with less embedded appreciation in high-tax states.</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Manuscript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gridSpan w:val="2"/>
            <w:tcBorders>
              <w:top w:val="single" w:color="1F3864" w:sz="8"/>
              <w:left w:val="none" w:color="FFFFFF" w:sz="0"/>
              <w:bottom w:val="single" w:color="BBBBBB" w:sz="1"/>
              <w:right w:val="none" w:color="FFFFFF" w:sz="0"/>
            </w:tcBorders>
            <w:shd w:fill="1F3864" w:val="clear"/>
            <w:tcMar>
              <w:top w:type="dxa" w:w="100"/>
              <w:left w:type="dxa" w:w="160"/>
              <w:bottom w:type="dxa" w:w="100"/>
              <w:right w:type="dxa" w:w="160"/>
            </w:tcMar>
          </w:tcPr>
          <w:p>
            <w:r>
              <w:rPr>
                <w:rFonts w:ascii="Arial" w:cs="Arial" w:eastAsia="Arial" w:hAnsi="Arial"/>
                <w:b/>
                <w:bCs/>
                <w:caps/>
                <w:color w:val="FFFFFF"/>
                <w:sz w:val="21"/>
                <w:szCs w:val="21"/>
              </w:rPr>
              <w:t xml:space="preserve">NB-05 → Manuscript Value</w:t>
            </w:r>
          </w:p>
        </w:tc>
      </w:tr>
      <w:tr>
        <w:tc>
          <w:tcPr>
            <w:tcBorders>
              <w:top w:val="none" w:color="FFFFFF" w:sz="0"/>
              <w:left w:val="none" w:color="FFFFFF" w:sz="0"/>
              <w:bottom w:val="single" w:color="BBBBBB" w:sz="1"/>
              <w:right w:val="single" w:color="BBBBBB" w:sz="1"/>
            </w:tcBorders>
            <w:shd w:fill="F4F7FB"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The national planning table (Fig 6) is ready for direct manuscript inclusion. It gives every practitioner — regardless of state — a single-reference win probability for their jurisdiction.</w:t>
            </w:r>
          </w:p>
          <w:p>
            <w:pPr>
              <w:spacing w:before="0" w:after="80"/>
            </w:pPr>
            <w:r>
              <w:rPr>
                <w:rFonts w:ascii="Arial" w:cs="Arial" w:eastAsia="Arial" w:hAnsi="Arial"/>
                <w:color w:val="222222"/>
                <w:sz w:val="21"/>
                <w:szCs w:val="21"/>
              </w:rPr>
              <w:t xml:space="preserve">The California-centric baseline is defended: the paper's primary quantitative conclusions hold across all state tax environments, with California representing a moderately favorable case, not an extreme one.</w:t>
            </w:r>
          </w:p>
        </w:tc>
        <w:tc>
          <w:tcPr>
            <w:tcBorders>
              <w:top w:val="none" w:color="FFFFFF" w:sz="0"/>
              <w:left w:val="none" w:color="FFFFFF" w:sz="0"/>
              <w:bottom w:val="single" w:color="BBBBBB" w:sz="1"/>
              <w:right w:val="none" w:color="FFFFFF" w:sz="0"/>
            </w:tcBorders>
            <w:shd w:fill="FFFFFF"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The three-channel decomposition (Fig 2) is important for peer review defense. A reviewer may ask why state taxes help rather than hurt — the decomposition provides the mechanistic answer.</w:t>
            </w:r>
          </w:p>
          <w:p>
            <w:pPr>
              <w:spacing w:before="0" w:after="80"/>
            </w:pPr>
            <w:r>
              <w:rPr>
                <w:rFonts w:ascii="Arial" w:cs="Arial" w:eastAsia="Arial" w:hAnsi="Arial"/>
                <w:color w:val="222222"/>
                <w:sz w:val="21"/>
                <w:szCs w:val="21"/>
              </w:rPr>
              <w:t xml:space="preserve">The preferential CG rate finding (Fig 5) is a novel contribution: no existing CRUT literature examines the effect of state-level capital gains preferences, despite their material impact in states like Hawaii, and potentially AK and CO under certain structures.</w:t>
            </w:r>
          </w:p>
        </w:tc>
      </w:tr>
    </w:tbl>
    <w:p>
      <w:pPr>
        <w:spacing w:before="0" w:after="320"/>
      </w:pPr>
      <w:r>
        <w:rPr>
          <w:rFonts w:ascii="Arial" w:cs="Arial" w:eastAsia="Arial" w:hAnsi="Arial"/>
        </w:rPr>
        <w:t xml:space="preserve"/>
      </w:r>
    </w:p>
    <w:p>
      <w:pPr>
        <w:pBdr>
          <w:bottom w:val="single" w:color="C9A84C" w:sz="12"/>
        </w:pBdr>
        <w:spacing w:before="440" w:after="60"/>
      </w:pPr>
      <w:r>
        <w:rPr>
          <w:rFonts w:ascii="Arial" w:cs="Arial" w:eastAsia="Arial" w:hAnsi="Arial"/>
          <w:b/>
          <w:bCs/>
          <w:color w:val="C9A84C"/>
          <w:sz w:val="36"/>
          <w:szCs w:val="36"/>
        </w:rPr>
        <w:t xml:space="preserve">NB-06  </w:t>
      </w:r>
      <w:r>
        <w:rPr>
          <w:rFonts w:ascii="Arial" w:cs="Arial" w:eastAsia="Arial" w:hAnsi="Arial"/>
          <w:b/>
          <w:bCs/>
          <w:color w:val="1F3864"/>
          <w:sz w:val="36"/>
          <w:szCs w:val="36"/>
        </w:rPr>
        <w:t xml:space="preserve">Return Model Robustness</w:t>
      </w:r>
    </w:p>
    <w:p>
      <w:pPr>
        <w:spacing w:before="80" w:after="320"/>
      </w:pPr>
      <w:r>
        <w:rPr>
          <w:rFonts w:ascii="Arial" w:cs="Arial" w:eastAsia="Arial" w:hAnsi="Arial"/>
          <w:i/>
          <w:iCs/>
          <w:color w:val="555555"/>
          <w:sz w:val="22"/>
          <w:szCs w:val="22"/>
        </w:rPr>
        <w:t xml:space="preserve">Six Checks on the Baseline Assumptions</w:t>
      </w:r>
    </w:p>
    <w:p>
      <w:pPr>
        <w:spacing w:before="260" w:after="100"/>
      </w:pPr>
      <w:r>
        <w:rPr>
          <w:rFonts w:ascii="Arial" w:cs="Arial" w:eastAsia="Arial" w:hAnsi="Arial"/>
          <w:b/>
          <w:bCs/>
          <w:color w:val="2E75B6"/>
          <w:sz w:val="24"/>
          <w:szCs w:val="24"/>
        </w:rPr>
        <w:t xml:space="preserve">What Was Built</w:t>
      </w:r>
    </w:p>
    <w:p>
      <w:pPr>
        <w:spacing w:before="0" w:after="160"/>
      </w:pPr>
      <w:r>
        <w:rPr>
          <w:rFonts w:ascii="Arial" w:cs="Arial" w:eastAsia="Arial" w:hAnsi="Arial"/>
          <w:color w:val="222222"/>
          <w:sz w:val="22"/>
          <w:szCs w:val="22"/>
        </w:rPr>
        <w:t xml:space="preserve">Notebook 06 is the methodological credibility layer. Every Monte Carlo study rests on assumptions about the return-generating process; this notebook tests whether the manuscript's core findings survive when those assumptions are relaxed. Six robustness checks are performed, each with a dedicated figure.</w:t>
      </w:r>
    </w:p>
    <w:p>
      <w:pPr>
        <w:spacing w:before="0" w:after="8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The Six Robustness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
        <w:gridCol w:w="3240"/>
        <w:gridCol w:w="408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w:t>
            </w:r>
          </w:p>
        </w:tc>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Figure</w:t>
            </w:r>
          </w:p>
        </w:tc>
        <w:tc>
          <w:tcPr>
            <w:tcW w:type="dxa" w:w="32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Tests</w:t>
            </w:r>
          </w:p>
        </w:tc>
        <w:tc>
          <w:tcPr>
            <w:tcW w:type="dxa" w:w="4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Methodological Purpose</w:t>
            </w:r>
          </w:p>
        </w:tc>
      </w:tr>
      <w:tr>
        <w:tc>
          <w:tcPr>
            <w:tcW w:type="dxa" w:w="15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Path count convergence</w:t>
            </w:r>
          </w:p>
        </w:tc>
        <w:tc>
          <w:tcPr>
            <w:tcW w:type="dxa" w:w="4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 1</w:t>
            </w:r>
          </w:p>
        </w:tc>
        <w:tc>
          <w:tcPr>
            <w:tcW w:type="dxa" w:w="32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Win prob and CI width as n_paths rises from 500 to 10,000</w:t>
            </w:r>
          </w:p>
        </w:tc>
        <w:tc>
          <w:tcPr>
            <w:tcW w:type="dxa" w:w="40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Confirms n=2,000 achieves &lt; 2pp CI width — standard Monte Carlo validation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Volatility sweep</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 2</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Win prob vs. σ (8%–30%) at all four turnover levels</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Addresses concentrated position holders (σ = 20–35%) vs. diversified portfolio (σ = 12%)</w:t>
            </w:r>
          </w:p>
        </w:tc>
      </w:tr>
      <w:tr>
        <w:tc>
          <w:tcPr>
            <w:tcW w:type="dxa" w:w="15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Return × volatility surface</w:t>
            </w:r>
          </w:p>
        </w:tc>
        <w:tc>
          <w:tcPr>
            <w:tcW w:type="dxa" w:w="4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 3</w:t>
            </w:r>
          </w:p>
        </w:tc>
        <w:tc>
          <w:tcPr>
            <w:tcW w:type="dxa" w:w="32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Joint μ–σ heatmap with iso-Sharpe contours overlaid</w:t>
            </w:r>
          </w:p>
        </w:tc>
        <w:tc>
          <w:tcPr>
            <w:tcW w:type="dxa" w:w="40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Tests whether Sharpe ratio is the sufficient statistic or whether μ and σ have independent effects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Student-t distribution</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 4</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Log-normal vs. Student-t (df = 5, 10, 20) across σ levels and two turnover levels</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robustness check — fat-tailed equity returns, matched μ and σ</w:t>
            </w:r>
          </w:p>
        </w:tc>
      </w:tr>
      <w:tr>
        <w:tc>
          <w:tcPr>
            <w:tcW w:type="dxa" w:w="156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Sequence of returns risk</w:t>
            </w:r>
          </w:p>
        </w:tc>
        <w:tc>
          <w:tcPr>
            <w:tcW w:type="dxa" w:w="4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 5</w:t>
            </w:r>
          </w:p>
        </w:tc>
        <w:tc>
          <w:tcPr>
            <w:tcW w:type="dxa" w:w="32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Win prob by early-period return quartile (Q1 = early bad, Q4 = early good)</w:t>
            </w:r>
          </w:p>
        </w:tc>
        <w:tc>
          <w:tcPr>
            <w:tcW w:type="dxa" w:w="40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Tests whether CRUT suffers more or less from adverse early sequences than the benchmark</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Bear market stress test</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 6</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Deterministic year-1 return shock (−40% to +20%) across turnover levels</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Tests CRUT resilience to market downturn at formation, and asymmetric deduction-at-inception advantage</w:t>
            </w:r>
          </w:p>
        </w:tc>
      </w:tr>
    </w:tbl>
    <w:p>
      <w:pPr>
        <w:spacing w:before="0" w:after="16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Student-t: The Primary Robustness Check</w:t>
      </w:r>
    </w:p>
    <w:p>
      <w:pPr>
        <w:spacing w:before="0" w:after="160"/>
      </w:pPr>
      <w:r>
        <w:rPr>
          <w:rFonts w:ascii="Arial" w:cs="Arial" w:eastAsia="Arial" w:hAnsi="Arial"/>
          <w:color w:val="222222"/>
          <w:sz w:val="22"/>
          <w:szCs w:val="22"/>
        </w:rPr>
        <w:t xml:space="preserve">The Student-t check is designated as primary because the log-normal distribution assumption is the most significant methodological limitation of the baseline model. Equity returns are empirically leptokurtic — the tails are heavier than log-normal predicts. Using a Student-t with df = 5 (excess kurtosis = 6.0, vs. ~0.05 for the log-normal at σ = 12%) tests whether fat tails change the conclusions.</w:t>
      </w:r>
    </w:p>
    <w:p>
      <w:pPr>
        <w:spacing w:before="0" w:after="160"/>
      </w:pPr>
      <w:r>
        <w:rPr>
          <w:rFonts w:ascii="Arial" w:cs="Arial" w:eastAsia="Arial" w:hAnsi="Arial"/>
          <w:color w:val="222222"/>
          <w:sz w:val="22"/>
          <w:szCs w:val="22"/>
        </w:rPr>
        <w:t xml:space="preserve">The parameterization matches μ = 7% and σ = 12% exactly across distributions, so the comparison isolates distributional shape rather than differences in central tendency. The floor at a gross return of 0.01 (−99%) prevents economically nonsensical outcomes.</w:t>
      </w:r>
    </w:p>
    <w:p>
      <w:pPr>
        <w:spacing w:before="0" w:after="160"/>
      </w:pPr>
      <w:r>
        <w:rPr>
          <w:rFonts w:ascii="Arial" w:cs="Arial" w:eastAsia="Arial" w:hAnsi="Arial"/>
          <w:color w:val="222222"/>
          <w:sz w:val="22"/>
          <w:szCs w:val="22"/>
        </w:rPr>
        <w:t xml:space="preserve">Fat tails affect the CRUT and the benchmark asymmetrically. Large losses reduce the benchmark's embedded gain — automatically shrinking its deferred tax liability, which is a benefit for the benchmark. Large gains increase the CRUT's distributions proportionally. The four-panel figure (top row: win prob under each distribution; bottom row: Student-t minus log-normal difference, green = fat tails favor CRUT, red = hurt CRUT) makes the finding visually unambiguous.</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Key Findings Across All Six Checks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Path count (Fig 1): The 2pp CI width threshold is reached well before n = 2,000 paths, confirming the baseline path count is more than sufficient. This validates every other notebook in the series.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Volatility (Fig 2): Win probability is not monotonically decreasing in σ at all turnover levels. For buy-and-hold (0% turnover), higher σ tends to hurt the CRUT as the benchmark's compounding power is amplified by volatility drag. At high turnover (60%), the effect reverses — volatile returns generate more CG drag for the benchmark each year.</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Return × volatility surface (Fig 3): The 50% decision contour deviates from iso-Sharpe lines, confirming that μ and σ have independent effects on win probability — the Sharpe ratio alone is not a sufficient statistic. This is economically sensible: the CRUT's annual payout makes it more sensitive to the level of returns than to their risk-adjusted relationship.</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Student-t (Fig 4): The fat-tail premium (Student-t minus log-normal win probability) is small in absolute terms — typically ±2–4 pp at baseline σ — and the direction depends on σ and turnover. This finding supports the use of the log-normal as a reasonable baseline: the conclusions are not materially sensitive to the distributional assumption.</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Sequence risk (Fig 5): The Q4 minus Q1 range is moderate — typically 6–14 pp depending on turnover. The CRUT is somewhat more sensitive to early adverse returns than the benchmark (as expected from theory), but the effect is not large enough to change the overall win probability conclusions for most clients.</w:t>
      </w:r>
    </w:p>
    <w:p>
      <w:pPr>
        <w:spacing w:before="60" w:after="60"/>
        <w:ind w:left="200"/>
      </w:pPr>
      <w:r>
        <w:rPr>
          <w:rFonts w:ascii="Arial" w:cs="Arial" w:eastAsia="Arial" w:hAnsi="Arial"/>
          <w:b/>
          <w:bCs/>
          <w:color w:val="C9A84C"/>
          <w:sz w:val="22"/>
          <w:szCs w:val="22"/>
        </w:rPr>
        <w:t xml:space="preserve">►  </w:t>
      </w:r>
      <w:r>
        <w:rPr>
          <w:rFonts w:ascii="Arial" w:cs="Arial" w:eastAsia="Arial" w:hAnsi="Arial"/>
          <w:color w:val="111111"/>
          <w:sz w:val="22"/>
          <w:szCs w:val="22"/>
        </w:rPr>
        <w:t xml:space="preserve">Bear market stress test (Fig 6): A −30% year-1 shock reduces win probability by approximately 6–12 pp across turnover levels. The CRUT's deduction benefit — fixed at inception regardless of year-1 performance — provides partial insulation. The benchmark's embedded gain compression partially offsets this.</w:t>
      </w:r>
    </w:p>
    <w:p>
      <w:pPr>
        <w:spacing w:before="0" w:after="12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Manuscript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gridSpan w:val="2"/>
            <w:tcBorders>
              <w:top w:val="single" w:color="1F3864" w:sz="8"/>
              <w:left w:val="none" w:color="FFFFFF" w:sz="0"/>
              <w:bottom w:val="single" w:color="BBBBBB" w:sz="1"/>
              <w:right w:val="none" w:color="FFFFFF" w:sz="0"/>
            </w:tcBorders>
            <w:shd w:fill="1F3864" w:val="clear"/>
            <w:tcMar>
              <w:top w:type="dxa" w:w="100"/>
              <w:left w:type="dxa" w:w="160"/>
              <w:bottom w:type="dxa" w:w="100"/>
              <w:right w:type="dxa" w:w="160"/>
            </w:tcMar>
          </w:tcPr>
          <w:p>
            <w:r>
              <w:rPr>
                <w:rFonts w:ascii="Arial" w:cs="Arial" w:eastAsia="Arial" w:hAnsi="Arial"/>
                <w:b/>
                <w:bCs/>
                <w:caps/>
                <w:color w:val="FFFFFF"/>
                <w:sz w:val="21"/>
                <w:szCs w:val="21"/>
              </w:rPr>
              <w:t xml:space="preserve">NB-06 → Manuscript Value</w:t>
            </w:r>
          </w:p>
        </w:tc>
      </w:tr>
      <w:tr>
        <w:tc>
          <w:tcPr>
            <w:tcBorders>
              <w:top w:val="none" w:color="FFFFFF" w:sz="0"/>
              <w:left w:val="none" w:color="FFFFFF" w:sz="0"/>
              <w:bottom w:val="single" w:color="BBBBBB" w:sz="1"/>
              <w:right w:val="single" w:color="BBBBBB" w:sz="1"/>
            </w:tcBorders>
            <w:shd w:fill="F4F7FB"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Methodological defense</w:t>
            </w:r>
          </w:p>
          <w:p>
            <w:pPr>
              <w:spacing w:before="0" w:after="80"/>
            </w:pPr>
            <w:r>
              <w:rPr>
                <w:rFonts w:ascii="Arial" w:cs="Arial" w:eastAsia="Arial" w:hAnsi="Arial"/>
                <w:color w:val="222222"/>
                <w:sz w:val="21"/>
                <w:szCs w:val="21"/>
              </w:rPr>
              <w:t xml:space="preserve">Path count convergence (Fig 1) is the first exhibit in the Methods section. Peer reviewers of simulation-based manuscripts routinely ask whether the path count is sufficient — this figure provides a definitive answer.</w:t>
            </w:r>
          </w:p>
          <w:p>
            <w:pPr>
              <w:spacing w:before="0" w:after="80"/>
            </w:pPr>
            <w:r>
              <w:rPr>
                <w:rFonts w:ascii="Arial" w:cs="Arial" w:eastAsia="Arial" w:hAnsi="Arial"/>
                <w:color w:val="222222"/>
                <w:sz w:val="21"/>
                <w:szCs w:val="21"/>
              </w:rPr>
              <w:t xml:space="preserve">The Student-t check (Fig 4) is the answer to the inevitable reviewer comment: "The log-normal distribution understates tail risk." The four-panel figure shows the finding holds under fat tails.</w:t>
            </w:r>
          </w:p>
        </w:tc>
        <w:tc>
          <w:tcPr>
            <w:tcBorders>
              <w:top w:val="none" w:color="FFFFFF" w:sz="0"/>
              <w:left w:val="none" w:color="FFFFFF" w:sz="0"/>
              <w:bottom w:val="single" w:color="BBBBBB" w:sz="1"/>
              <w:right w:val="none" w:color="FFFFFF" w:sz="0"/>
            </w:tcBorders>
            <w:shd w:fill="FFFFFF" w:val="clear"/>
            <w:tcMar>
              <w:top w:type="dxa" w:w="120"/>
              <w:left w:type="dxa" w:w="160"/>
              <w:bottom w:type="dxa" w:w="120"/>
              <w:right w:type="dxa" w:w="160"/>
            </w:tcMar>
          </w:tcPr>
          <w:p>
            <w:pPr>
              <w:spacing w:before="0" w:after="80"/>
            </w:pPr>
            <w:r>
              <w:rPr>
                <w:rFonts w:ascii="Arial" w:cs="Arial" w:eastAsia="Arial" w:hAnsi="Arial"/>
                <w:color w:val="222222"/>
                <w:sz w:val="21"/>
                <w:szCs w:val="21"/>
              </w:rPr>
              <w:t xml:space="preserve">Novel contributions</w:t>
            </w:r>
          </w:p>
          <w:p>
            <w:pPr>
              <w:spacing w:before="0" w:after="80"/>
            </w:pPr>
            <w:r>
              <w:rPr>
                <w:rFonts w:ascii="Arial" w:cs="Arial" w:eastAsia="Arial" w:hAnsi="Arial"/>
                <w:color w:val="222222"/>
                <w:sz w:val="21"/>
                <w:szCs w:val="21"/>
              </w:rPr>
              <w:t xml:space="preserve">The sequence of returns analysis (Fig 5) is, to our knowledge, the first published examination of SORR in the CRUT context. This is a genuine manuscript contribution beyond the OAT sensitivity analysis.</w:t>
            </w:r>
          </w:p>
          <w:p>
            <w:pPr>
              <w:spacing w:before="0" w:after="80"/>
            </w:pPr>
            <w:r>
              <w:rPr>
                <w:rFonts w:ascii="Arial" w:cs="Arial" w:eastAsia="Arial" w:hAnsi="Arial"/>
                <w:color w:val="222222"/>
                <w:sz w:val="21"/>
                <w:szCs w:val="21"/>
              </w:rPr>
              <w:t xml:space="preserve">The bear market stress test (Fig 6) directly addresses a question practitioners ask: "Should I wait until the market recovers before contributing?" The deduction-at-inception asymmetry provides a partial answer.</w:t>
            </w:r>
          </w:p>
        </w:tc>
      </w:tr>
    </w:tbl>
    <w:p>
      <w:pPr>
        <w:spacing w:before="0" w:after="320"/>
      </w:pPr>
      <w:r>
        <w:rPr>
          <w:rFonts w:ascii="Arial" w:cs="Arial" w:eastAsia="Arial" w:hAnsi="Arial"/>
        </w:rPr>
        <w:t xml:space="preserve"/>
      </w:r>
    </w:p>
    <w:p>
      <w:pPr>
        <w:pBdr>
          <w:bottom w:val="single" w:color="C9A84C" w:sz="12"/>
        </w:pBdr>
        <w:spacing w:before="440" w:after="200"/>
      </w:pPr>
      <w:r>
        <w:rPr>
          <w:rFonts w:ascii="Arial" w:cs="Arial" w:eastAsia="Arial" w:hAnsi="Arial"/>
          <w:b/>
          <w:bCs/>
          <w:color w:val="1F3864"/>
          <w:sz w:val="36"/>
          <w:szCs w:val="36"/>
        </w:rPr>
        <w:t xml:space="preserve">Manuscript Integration Guide</w:t>
      </w:r>
    </w:p>
    <w:p>
      <w:pPr>
        <w:spacing w:before="260" w:after="100"/>
      </w:pPr>
      <w:r>
        <w:rPr>
          <w:rFonts w:ascii="Arial" w:cs="Arial" w:eastAsia="Arial" w:hAnsi="Arial"/>
          <w:b/>
          <w:bCs/>
          <w:color w:val="2E75B6"/>
          <w:sz w:val="24"/>
          <w:szCs w:val="24"/>
        </w:rPr>
        <w:t xml:space="preserve">How the Notebooks Map to Manuscript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40"/>
        <w:gridCol w:w="4420"/>
      </w:tblGrid>
      <w:t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Manuscript Section</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Notebook(s)</w:t>
            </w:r>
          </w:p>
        </w:tc>
        <w:tc>
          <w:tcPr>
            <w:tcW w:type="dxa" w:w="14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Figures</w:t>
            </w:r>
          </w:p>
        </w:tc>
        <w:tc>
          <w:tcPr>
            <w:tcW w:type="dxa" w:w="44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 Claim Supported</w:t>
            </w:r>
          </w:p>
        </w:tc>
      </w:tr>
      <w:tr>
        <w:tc>
          <w:tcPr>
            <w:tcW w:type="dxa" w:w="21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Introduction / CRUT basics</w:t>
            </w:r>
          </w:p>
        </w:tc>
        <w:tc>
          <w:tcPr>
            <w:tcW w:type="dxa" w:w="1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NB-00</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44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CRUTs are a viable alternative to outright sale for highly appreciated assets</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Methods: simulation design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NB-00, NB-01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 cell output</w:t>
            </w:r>
          </w:p>
        </w:tc>
        <w:tc>
          <w:tcPr>
            <w:tcW w:type="dxa" w:w="44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Three-benchmark framework, 12-parameter OAT, 2,000-path Monte Carlo</w:t>
            </w:r>
          </w:p>
        </w:tc>
      </w:tr>
      <w:tr>
        <w:tc>
          <w:tcPr>
            <w:tcW w:type="dxa" w:w="21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Methods: model validation</w:t>
            </w:r>
          </w:p>
        </w:tc>
        <w:tc>
          <w:tcPr>
            <w:tcW w:type="dxa" w:w="1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NB-06</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 1</w:t>
            </w:r>
          </w:p>
        </w:tc>
        <w:tc>
          <w:tcPr>
            <w:tcW w:type="dxa" w:w="44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n=2,000 paths sufficient (&lt; 2pp CI width)</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Results: parameter sensitivity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Table 1 / OAT</w:t>
            </w:r>
          </w:p>
        </w:tc>
        <w:tc>
          <w:tcPr>
            <w:tcW w:type="dxa" w:w="44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μ and longevity dominate; §7520 rate has near-zero effect</w:t>
            </w:r>
          </w:p>
        </w:tc>
      </w:tr>
      <w:tr>
        <w:tc>
          <w:tcPr>
            <w:tcW w:type="dxa" w:w="21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Results: benchmark comparison</w:t>
            </w:r>
          </w:p>
        </w:tc>
        <w:tc>
          <w:tcPr>
            <w:tcW w:type="dxa" w:w="1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NB-00, NB-02</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Figs 1–3</w:t>
            </w:r>
          </w:p>
        </w:tc>
        <w:tc>
          <w:tcPr>
            <w:tcW w:type="dxa" w:w="44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CRUT dominates liquidation-reinvest; step-up benchmark requires high turnover to beat</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Results: longevity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Figs 1–6</w:t>
            </w:r>
          </w:p>
        </w:tc>
        <w:tc>
          <w:tcPr>
            <w:tcW w:type="dxa" w:w="44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Longevity is the primary client-specific variable; two-life extends advantage</w:t>
            </w:r>
          </w:p>
        </w:tc>
      </w:tr>
      <w:tr>
        <w:tc>
          <w:tcPr>
            <w:tcW w:type="dxa" w:w="21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Results: payout rate design</w:t>
            </w:r>
          </w:p>
        </w:tc>
        <w:tc>
          <w:tcPr>
            <w:tcW w:type="dxa" w:w="1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NB-04</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Figs 1–4</w:t>
            </w:r>
          </w:p>
        </w:tc>
        <w:tc>
          <w:tcPr>
            <w:tcW w:type="dxa" w:w="44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Interior optimum exists; practitioners should not set payout at the IRS maximum</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Results: §7520 rate finding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NB-04</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Figs 5–6</w:t>
            </w:r>
          </w:p>
        </w:tc>
        <w:tc>
          <w:tcPr>
            <w:tcW w:type="dxa" w:w="44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Near-zero net effect; deduction and discounting channels cancel</w:t>
            </w:r>
          </w:p>
        </w:tc>
      </w:tr>
      <w:tr>
        <w:tc>
          <w:tcPr>
            <w:tcW w:type="dxa" w:w="21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Results: state tax</w:t>
            </w:r>
          </w:p>
        </w:tc>
        <w:tc>
          <w:tcPr>
            <w:tcW w:type="dxa" w:w="1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NB-05</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Figs 1–6</w:t>
            </w:r>
          </w:p>
        </w:tc>
        <w:tc>
          <w:tcPr>
            <w:tcW w:type="dxa" w:w="44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High-tax states favor CRUT; CA baseline is conservative, not extreme</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Robustness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NB-06</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Figs 1–6</w:t>
            </w:r>
          </w:p>
        </w:tc>
        <w:tc>
          <w:tcPr>
            <w:tcW w:type="dxa" w:w="44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Log-normal adequate; fat tails small effect; sequence risk moderate</w:t>
            </w:r>
          </w:p>
        </w:tc>
      </w:tr>
      <w:tr>
        <w:tc>
          <w:tcPr>
            <w:tcW w:type="dxa" w:w="21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Discussion: planning recommendations</w:t>
            </w:r>
          </w:p>
        </w:tc>
        <w:tc>
          <w:tcPr>
            <w:tcW w:type="dxa" w:w="14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NB-03, NB-04, NB-05</w:t>
            </w:r>
          </w:p>
        </w:tc>
        <w:tc>
          <w:tcPr>
            <w:tcW w:type="dxa" w:w="14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Tables</w:t>
            </w:r>
          </w:p>
        </w:tc>
        <w:tc>
          <w:tcPr>
            <w:tcW w:type="dxa" w:w="442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Age-indexed optimal payout table; state-by-state planning table</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Appendix: methodology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 cells</w:t>
            </w:r>
          </w:p>
        </w:tc>
        <w:tc>
          <w:tcPr>
            <w:tcW w:type="dxa" w:w="44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Self-contained engine with documented formula derivations</w:t>
            </w:r>
          </w:p>
        </w:tc>
      </w:tr>
    </w:tbl>
    <w:p>
      <w:pPr>
        <w:spacing w:before="0" w:after="240"/>
      </w:pPr>
      <w:r>
        <w:rPr>
          <w:rFonts w:ascii="Arial" w:cs="Arial" w:eastAsia="Arial" w:hAnsi="Arial"/>
        </w:rPr>
        <w:t xml:space="preserve"/>
      </w:r>
    </w:p>
    <w:p>
      <w:pPr>
        <w:spacing w:before="260" w:after="100"/>
      </w:pPr>
      <w:r>
        <w:rPr>
          <w:rFonts w:ascii="Arial" w:cs="Arial" w:eastAsia="Arial" w:hAnsi="Arial"/>
          <w:b/>
          <w:bCs/>
          <w:color w:val="2E75B6"/>
          <w:sz w:val="24"/>
          <w:szCs w:val="24"/>
        </w:rPr>
        <w:t xml:space="preserve">Figures Recommended for Manuscript Inclusion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1680"/>
        <w:gridCol w:w="600"/>
        <w:gridCol w:w="2840"/>
        <w:gridCol w:w="2700"/>
      </w:tblGrid>
      <w:tr>
        <w:tc>
          <w:tcPr>
            <w:tcW w:type="dxa" w:w="5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Figure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Notebook</w:t>
            </w:r>
          </w:p>
        </w:tc>
        <w:tc>
          <w:tcPr>
            <w:tcW w:type="dxa" w:w="28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Placement Recommendation</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OAT ranking table</w:t>
            </w:r>
          </w:p>
        </w:tc>
        <w:tc>
          <w:tcPr>
            <w:tcW w:type="dxa" w:w="6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NB-01</w:t>
            </w:r>
          </w:p>
        </w:tc>
        <w:tc>
          <w:tcPr>
            <w:tcW w:type="dxa" w:w="28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All 12 parameters ranked by sensitivity range</w:t>
            </w:r>
          </w:p>
        </w:tc>
        <w:tc>
          <w:tcPr>
            <w:tcW w:type="dxa" w:w="27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Table 1 (main results)</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Win prob vs. turnover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NB-00</w:t>
            </w:r>
          </w:p>
        </w:tc>
        <w:tc>
          <w:tcPr>
            <w:tcW w:type="dxa" w:w="2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Four turnover levels at baseline</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Figure 1 (intro to results)</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Payout rate sweep</w:t>
            </w:r>
          </w:p>
        </w:tc>
        <w:tc>
          <w:tcPr>
            <w:tcW w:type="dxa" w:w="6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NB-04</w:t>
            </w:r>
          </w:p>
        </w:tc>
        <w:tc>
          <w:tcPr>
            <w:tcW w:type="dxa" w:w="28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Win prob vs. payout rate with 10% test boundary</w:t>
            </w:r>
          </w:p>
        </w:tc>
        <w:tc>
          <w:tcPr>
            <w:tcW w:type="dxa" w:w="27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Figure 2 (design recommendation)</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§7520 decomposition</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NB-04</w:t>
            </w:r>
          </w:p>
        </w:tc>
        <w:tc>
          <w:tcPr>
            <w:tcW w:type="dxa" w:w="2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Deduction vs. discounting channel isolation</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Figure 3 (counterintuitive finding)</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State planning table</w:t>
            </w:r>
          </w:p>
        </w:tc>
        <w:tc>
          <w:tcPr>
            <w:tcW w:type="dxa" w:w="6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NB-05</w:t>
            </w:r>
          </w:p>
        </w:tc>
        <w:tc>
          <w:tcPr>
            <w:tcW w:type="dxa" w:w="28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Named states, two turnover levels, win prob + median</w:t>
            </w:r>
          </w:p>
        </w:tc>
        <w:tc>
          <w:tcPr>
            <w:tcW w:type="dxa" w:w="27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Table 2 (national practice)</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Student-t comparison</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NB-06</w:t>
            </w:r>
          </w:p>
        </w:tc>
        <w:tc>
          <w:tcPr>
            <w:tcW w:type="dxa" w:w="2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Four-panel log-normal vs. t-dist, difference panels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Figure 4 (robustness section)</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Longevity sweep</w:t>
            </w:r>
          </w:p>
        </w:tc>
        <w:tc>
          <w:tcPr>
            <w:tcW w:type="dxa" w:w="6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NB-03</w:t>
            </w:r>
          </w:p>
        </w:tc>
        <w:tc>
          <w:tcPr>
            <w:tcW w:type="dxa" w:w="28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Win prob vs. longevity adjustment</w:t>
            </w:r>
          </w:p>
        </w:tc>
        <w:tc>
          <w:tcPr>
            <w:tcW w:type="dxa" w:w="27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Figure 5 (longevity section)</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Archetypal profiles</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NB-03</w:t>
            </w:r>
          </w:p>
        </w:tc>
        <w:tc>
          <w:tcPr>
            <w:tcW w:type="dxa" w:w="2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Four client profiles with bootstrap CIs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Figure 6 (planning application)</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Optimal payout vs. age</w:t>
            </w:r>
          </w:p>
        </w:tc>
        <w:tc>
          <w:tcPr>
            <w:tcW w:type="dxa" w:w="6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NB-04</w:t>
            </w:r>
          </w:p>
        </w:tc>
        <w:tc>
          <w:tcPr>
            <w:tcW w:type="dxa" w:w="28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Optimal rate and max win prob by age</w:t>
            </w:r>
          </w:p>
        </w:tc>
        <w:tc>
          <w:tcPr>
            <w:tcW w:type="dxa" w:w="27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Appendix or planning table</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State channel decomposition</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NB-05</w:t>
            </w:r>
          </w:p>
        </w:tc>
        <w:tc>
          <w:tcPr>
            <w:tcW w:type="dxa" w:w="2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Ch1/Ch2/Ch3 isolation plot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Appendix (methods defense)</w:t>
            </w:r>
          </w:p>
        </w:tc>
      </w:tr>
      <w:tr>
        <w:tc>
          <w:tcPr>
            <w:tcW w:type="dxa" w:w="5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Sequence risk bar chart</w:t>
            </w:r>
          </w:p>
        </w:tc>
        <w:tc>
          <w:tcPr>
            <w:tcW w:type="dxa" w:w="6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NB-06</w:t>
            </w:r>
          </w:p>
        </w:tc>
        <w:tc>
          <w:tcPr>
            <w:tcW w:type="dxa" w:w="284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Win prob by return sequence quartile</w:t>
            </w:r>
          </w:p>
        </w:tc>
        <w:tc>
          <w:tcPr>
            <w:tcW w:type="dxa" w:w="2700"/>
            <w:tcBorders>
              <w:top w:val="single" w:color="BBBBBB" w:sz="1"/>
              <w:left w:val="single" w:color="BBBBBB" w:sz="1"/>
              <w:bottom w:val="single" w:color="BBBBBB" w:sz="1"/>
              <w:right w:val="single" w:color="BBBBBB"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Appendix (novel contribution)</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Path convergence</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NB-06</w:t>
            </w:r>
          </w:p>
        </w:tc>
        <w:tc>
          <w:tcPr>
            <w:tcW w:type="dxa" w:w="2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 width vs. n_paths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Methods appendix (validation)</w:t>
            </w:r>
          </w:p>
        </w:tc>
      </w:tr>
    </w:tbl>
    <w:p>
      <w:pPr>
        <w:spacing w:before="0" w:after="3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8"/>
              <w:left w:val="single" w:color="1F3864" w:sz="20"/>
              <w:bottom w:val="single" w:color="1F3864" w:sz="1"/>
              <w:right w:val="single" w:color="1F3864" w:sz="1"/>
            </w:tcBorders>
            <w:shd w:fill="DDEEFF" w:val="clear"/>
            <w:tcMar>
              <w:top w:type="dxa" w:w="140"/>
              <w:left w:type="dxa" w:w="200"/>
              <w:bottom w:type="dxa" w:w="140"/>
              <w:right w:type="dxa" w:w="200"/>
            </w:tcMar>
          </w:tcPr>
          <w:p>
            <w:pPr>
              <w:spacing w:before="0" w:after="80"/>
            </w:pPr>
            <w:r>
              <w:rPr>
                <w:rFonts w:ascii="Arial" w:cs="Arial" w:eastAsia="Arial" w:hAnsi="Arial"/>
                <w:b/>
                <w:bCs/>
                <w:caps/>
                <w:color w:val="1F3864"/>
                <w:sz w:val="20"/>
                <w:szCs w:val="20"/>
              </w:rPr>
              <w:t xml:space="preserve">Series Summary: What the Seven Notebooks Establish Collectively</w:t>
            </w:r>
          </w:p>
          <w:p>
            <w:pPr>
              <w:spacing w:before="0" w:after="80"/>
            </w:pPr>
            <w:r>
              <w:rPr>
                <w:rFonts w:ascii="Arial" w:cs="Arial" w:eastAsia="Arial" w:hAnsi="Arial"/>
                <w:color w:val="111111"/>
                <w:sz w:val="21"/>
                <w:szCs w:val="21"/>
              </w:rPr>
              <w:t xml:space="preserve">NB-00 establishes the comparison framework and corrects the deduction formula bug that caused all prior computations to understate the CRUT's advantage.</w:t>
            </w:r>
          </w:p>
          <w:p>
            <w:pPr>
              <w:spacing w:before="0" w:after="80"/>
            </w:pPr>
            <w:r>
              <w:rPr>
                <w:rFonts w:ascii="Arial" w:cs="Arial" w:eastAsia="Arial" w:hAnsi="Arial"/>
                <w:color w:val="111111"/>
                <w:sz w:val="21"/>
                <w:szCs w:val="21"/>
              </w:rPr>
              <w:t xml:space="preserve">NB-01 produces the 12-parameter OAT ranking — the structural spine of the manuscript's results section.</w:t>
            </w:r>
          </w:p>
          <w:p>
            <w:pPr>
              <w:spacing w:before="0" w:after="80"/>
            </w:pPr>
            <w:r>
              <w:rPr>
                <w:rFonts w:ascii="Arial" w:cs="Arial" w:eastAsia="Arial" w:hAnsi="Arial"/>
                <w:color w:val="111111"/>
                <w:sz w:val="21"/>
                <w:szCs w:val="21"/>
              </w:rPr>
              <w:t xml:space="preserve">NB-02 defines the client profile for whom the CRUT is and is not recommended, via the step-up and liquidation-reinvest benchmarks.</w:t>
            </w:r>
          </w:p>
          <w:p>
            <w:pPr>
              <w:spacing w:before="0" w:after="80"/>
            </w:pPr>
            <w:r>
              <w:rPr>
                <w:rFonts w:ascii="Arial" w:cs="Arial" w:eastAsia="Arial" w:hAnsi="Arial"/>
                <w:color w:val="111111"/>
                <w:sz w:val="21"/>
                <w:szCs w:val="21"/>
              </w:rPr>
              <w:t xml:space="preserve">NB-03 provides the detailed longevity analysis, with planning-ready archetypal profiles and an age-indexed recommendation framework.</w:t>
            </w:r>
          </w:p>
          <w:p>
            <w:pPr>
              <w:spacing w:before="0" w:after="80"/>
            </w:pPr>
            <w:r>
              <w:rPr>
                <w:rFonts w:ascii="Arial" w:cs="Arial" w:eastAsia="Arial" w:hAnsi="Arial"/>
                <w:color w:val="111111"/>
                <w:sz w:val="21"/>
                <w:szCs w:val="21"/>
              </w:rPr>
              <w:t xml:space="preserve">NB-04 resolves the payout rate design question (interior optimum) and the §7520 rate puzzle (near-zero effect from channel cancellation).</w:t>
            </w:r>
          </w:p>
          <w:p>
            <w:pPr>
              <w:spacing w:before="0" w:after="80"/>
            </w:pPr>
            <w:r>
              <w:rPr>
                <w:rFonts w:ascii="Arial" w:cs="Arial" w:eastAsia="Arial" w:hAnsi="Arial"/>
                <w:color w:val="111111"/>
                <w:sz w:val="21"/>
                <w:szCs w:val="21"/>
              </w:rPr>
              <w:t xml:space="preserve">NB-05 extends the analysis to national practice with a state-by-state planning table and a three-channel decomposition of the state tax effect.</w:t>
            </w:r>
          </w:p>
          <w:p>
            <w:pPr>
              <w:spacing w:before="0" w:after="80"/>
            </w:pPr>
            <w:r>
              <w:rPr>
                <w:rFonts w:ascii="Arial" w:cs="Arial" w:eastAsia="Arial" w:hAnsi="Arial"/>
                <w:color w:val="111111"/>
                <w:sz w:val="21"/>
                <w:szCs w:val="21"/>
              </w:rPr>
              <w:t xml:space="preserve">NB-06 validates the methodology (path convergence) and stress-tests the log-normal assumption (Student-t), sequence sensitivity, and bear market resilience — providing the robustness section every peer-reviewed simulation manuscript requires.</w:t>
            </w:r>
          </w:p>
          <w:p>
            <w:pPr>
              <w:spacing w:before="0" w:after="40"/>
            </w:pPr>
            <w:r>
              <w:rPr>
                <w:rFonts w:ascii="Arial" w:cs="Arial" w:eastAsia="Arial" w:hAnsi="Arial"/>
              </w:rPr>
              <w:t xml:space="preserve"/>
            </w:r>
          </w:p>
        </w:tc>
      </w:tr>
    </w:tbl>
    <w:p>
      <w:pPr>
        <w:spacing w:before="0" w:after="320"/>
      </w:pPr>
      <w:r>
        <w:rPr>
          <w:rFonts w:ascii="Arial" w:cs="Arial" w:eastAsia="Arial" w:hAnsi="Arial"/>
        </w:rPr>
        <w:t xml:space="preserve"/>
      </w:r>
    </w:p>
    <w:p>
      <w:pPr>
        <w:pBdr>
          <w:top w:val="single" w:color="BBBBBB" w:sz="6"/>
        </w:pBdr>
        <w:spacing w:before="0" w:after="0"/>
        <w:jc w:val="center"/>
      </w:pPr>
      <w:r>
        <w:rPr>
          <w:rFonts w:ascii="Arial" w:cs="Arial" w:eastAsia="Arial" w:hAnsi="Arial"/>
          <w:color w:val="555555"/>
          <w:sz w:val="18"/>
          <w:szCs w:val="18"/>
        </w:rPr>
        <w:t xml:space="preserve">All notebooks are available at: </w:t>
      </w:r>
      <w:r>
        <w:rPr>
          <w:rFonts w:ascii="Arial" w:cs="Arial" w:eastAsia="Arial" w:hAnsi="Arial"/>
          <w:b/>
          <w:bCs/>
          <w:color w:val="2E75B6"/>
          <w:sz w:val="18"/>
          <w:szCs w:val="18"/>
        </w:rPr>
        <w:t xml:space="preserve">CalCRUT.com</w:t>
      </w:r>
      <w:r>
        <w:rPr>
          <w:rFonts w:ascii="Arial" w:cs="Arial" w:eastAsia="Arial" w:hAnsi="Arial"/>
          <w:color w:val="555555"/>
          <w:sz w:val="18"/>
          <w:szCs w:val="18"/>
        </w:rPr>
        <w:t xml:space="preserve">  |  All simulations use Python 3.10 / NumPy / Matplotlib  |  Seed: 42  |  n = 2,000 paths per simulation</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pBdr>
      <w:tabs>
        <w:tab w:val="right" w:pos="9026"/>
      </w:tabs>
      <w:spacing w:before="60"/>
    </w:pPr>
    <w:r>
      <w:rPr>
        <w:rFonts w:ascii="Arial" w:cs="Arial" w:eastAsia="Arial" w:hAnsi="Arial"/>
        <w:color w:val="555555"/>
        <w:sz w:val="16"/>
        <w:szCs w:val="16"/>
      </w:rPr>
      <w:t xml:space="preserve">When Do Charitable Remainder Unitrusts Outperform?  —  Notebook Analysis Summary</w:t>
    </w:r>
    <w:r>
      <w:rPr>
        <w:rFonts w:ascii="Arial" w:cs="Arial" w:eastAsia="Arial" w:hAnsi="Arial"/>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2026-02-19T20:10:38.928Z</dcterms:created>
  <dcterms:modified xsi:type="dcterms:W3CDTF">2026-02-19T20:10:38.929Z</dcterms:modified>
</cp:coreProperties>
</file>

<file path=docProps/custom.xml><?xml version="1.0" encoding="utf-8"?>
<Properties xmlns="http://schemas.openxmlformats.org/officeDocument/2006/custom-properties" xmlns:vt="http://schemas.openxmlformats.org/officeDocument/2006/docPropsVTypes"/>
</file>