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David" w:cs="David" w:eastAsia="David" w:hAnsi="David"/>
          <w:b/>
          <w:bCs/>
          <w:color w:val="1F3864"/>
          <w:sz w:val="44"/>
          <w:szCs w:val="44"/>
          <w:rtl/>
        </w:rPr>
        <w:t xml:space="preserve">כשכש־נשנש  |  Dogylishios</w:t>
      </w:r>
    </w:p>
    <w:p>
      <w:pPr>
        <w:bidi/>
        <w:spacing w:after="40"/>
        <w:jc w:val="right"/>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jc w:val="right"/>
      </w:pPr>
      <w:r>
        <w:rPr>
          <w:rFonts w:ascii="David" w:cs="David" w:eastAsia="David" w:hAnsi="David"/>
          <w:color w:val="808080"/>
          <w:sz w:val="22"/>
          <w:szCs w:val="22"/>
          <w:rtl/>
        </w:rPr>
        <w:t xml:space="preserve">פרויקט גמר  ·  דפנה נודל  ·  ספטמבר 2026</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טיוטה לעריכה. נקודה אחת פתוחה:</w:t>
            </w:r>
          </w:p>
          <w:p>
            <w:pPr>
              <w:bidi/>
              <w:spacing w:after="80" w:line="320"/>
              <w:jc w:val="right"/>
            </w:pPr>
            <w:r>
              <w:rPr>
                <w:rFonts w:ascii="David" w:cs="David" w:eastAsia="David" w:hAnsi="David"/>
                <w:b w:val="false"/>
                <w:bCs w:val="false"/>
                <w:sz w:val="22"/>
                <w:szCs w:val="22"/>
                <w:rtl/>
              </w:rPr>
              <w:t xml:space="preserve">לדלת הכחולה (כפל ב-2 וב-10) אין ממצא אמפירי ייעודי כפי שקיים לאפקט החמש. הנימוק בסעיף 3 הוא מבני ולא אמפירי, והוא מוצג ככזה. אם יימצא מקור ייעודי — אפשר לחזק. אין להמציא מקור.</w:t>
            </w:r>
          </w:p>
          <w:p>
            <w:pPr>
              <w:bidi/>
              <w:spacing w:after="80" w:line="320"/>
              <w:jc w:val="right"/>
            </w:pPr>
            <w:r>
              <w:rPr>
                <w:rFonts w:ascii="David" w:cs="David" w:eastAsia="David" w:hAnsi="David"/>
                <w:b/>
                <w:bCs/>
                <w:sz w:val="22"/>
                <w:szCs w:val="22"/>
                <w:rtl/>
              </w:rPr>
              <w:t xml:space="preserve">מאמ"י אינו מודל מהספרות ואינו זקוק להפניה: זו המסגרת שהמנחה ביקש להתייחס אליה. הניתוח לפיה הוא התוצר.</w:t>
            </w:r>
          </w:p>
        </w:tc>
      </w:tr>
    </w:tbl>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1.  מטרות</w:t>
      </w:r>
    </w:p>
    <w:p>
      <w:pPr>
        <w:pStyle w:val="Heading2"/>
        <w:bidi/>
        <w:spacing w:after="120" w:before="260"/>
        <w:jc w:val="right"/>
      </w:pPr>
      <w:r>
        <w:rPr>
          <w:rFonts w:ascii="David" w:cs="David" w:eastAsia="David" w:hAnsi="David"/>
          <w:b/>
          <w:bCs/>
          <w:color w:val="2E5496"/>
          <w:sz w:val="26"/>
          <w:szCs w:val="26"/>
          <w:rtl/>
        </w:rPr>
        <w:t xml:space="preserve">המטרה הפדגוגית</w:t>
      </w:r>
    </w:p>
    <w:p>
      <w:pPr>
        <w:bidi/>
        <w:spacing w:after="140" w:line="340"/>
        <w:jc w:val="right"/>
      </w:pPr>
      <w:r>
        <w:rPr>
          <w:rFonts w:ascii="David" w:cs="David" w:eastAsia="David" w:hAnsi="David"/>
          <w:sz w:val="24"/>
          <w:szCs w:val="24"/>
          <w:rtl/>
        </w:rPr>
        <w:t xml:space="preserve">המשחק מתרגל שליפה של עובדת כפל חד-ספרתית מהזיכרון ארוך הטווח, במהירות ובדיוק. זו מטרה צרה ומכוונת, ולא "שיפור במתמטיקה" באופן כללי.</w:t>
      </w:r>
    </w:p>
    <w:p>
      <w:pPr>
        <w:pStyle w:val="Heading2"/>
        <w:bidi/>
        <w:spacing w:after="120" w:before="260"/>
        <w:jc w:val="right"/>
      </w:pPr>
      <w:r>
        <w:rPr>
          <w:rFonts w:ascii="David" w:cs="David" w:eastAsia="David" w:hAnsi="David"/>
          <w:b/>
          <w:bCs/>
          <w:color w:val="2E5496"/>
          <w:sz w:val="26"/>
          <w:szCs w:val="26"/>
          <w:rtl/>
        </w:rPr>
        <w:t xml:space="preserve">למה דווקא שליפת עובדות</w:t>
      </w:r>
    </w:p>
    <w:p>
      <w:pPr>
        <w:bidi/>
        <w:spacing w:after="140" w:line="340"/>
        <w:jc w:val="right"/>
      </w:pPr>
      <w:r>
        <w:rPr>
          <w:rFonts w:ascii="David" w:cs="David" w:eastAsia="David" w:hAnsi="David"/>
          <w:sz w:val="24"/>
          <w:szCs w:val="24"/>
          <w:rtl/>
        </w:rPr>
        <w:t xml:space="preserve">Geary, Hoard ו-Bailey (2012)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ב-3–6% (Shalev, Auerbach, Manor ו-Gross-Tsur, 2000).</w:t>
      </w:r>
    </w:p>
    <w:p>
      <w:pPr>
        <w:bidi/>
        <w:spacing w:after="140" w:line="340"/>
        <w:jc w:val="right"/>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spacing w:after="120" w:before="260"/>
        <w:jc w:val="right"/>
      </w:pPr>
      <w:r>
        <w:rPr>
          <w:rFonts w:ascii="David" w:cs="David" w:eastAsia="David" w:hAnsi="David"/>
          <w:b/>
          <w:bCs/>
          <w:color w:val="2E5496"/>
          <w:sz w:val="26"/>
          <w:szCs w:val="26"/>
          <w:rtl/>
        </w:rPr>
        <w:t xml:space="preserve">מטרות משנה</w:t>
      </w:r>
    </w:p>
    <w:p>
      <w:pPr>
        <w:pStyle w:val="ListParagraph"/>
        <w:numPr>
          <w:ilvl w:val="0"/>
          <w:numId w:val="2"/>
        </w:numPr>
        <w:bidi/>
        <w:spacing w:after="90" w:line="320"/>
        <w:jc w:val="right"/>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90" w:line="320"/>
        <w:jc w:val="right"/>
      </w:pPr>
      <w:r>
        <w:rPr>
          <w:rFonts w:ascii="David" w:cs="David" w:eastAsia="David" w:hAnsi="David"/>
          <w:sz w:val="24"/>
          <w:szCs w:val="24"/>
          <w:rtl/>
        </w:rPr>
        <w:t xml:space="preserve">לייצר מוטיבציה פנימית ולא תלוית פרס חיצוני.</w:t>
      </w:r>
    </w:p>
    <w:p>
      <w:pPr>
        <w:pStyle w:val="ListParagraph"/>
        <w:numPr>
          <w:ilvl w:val="0"/>
          <w:numId w:val="2"/>
        </w:numPr>
        <w:bidi/>
        <w:spacing w:after="90" w:line="320"/>
        <w:jc w:val="right"/>
      </w:pPr>
      <w:r>
        <w:rPr>
          <w:rFonts w:ascii="David" w:cs="David" w:eastAsia="David" w:hAnsi="David"/>
          <w:sz w:val="24"/>
          <w:szCs w:val="24"/>
          <w:rtl/>
        </w:rPr>
        <w:t xml:space="preserve">לספק נתונים מדידים לצורכי מחקר והערכה.</w:t>
      </w:r>
    </w:p>
    <w:p>
      <w:pPr>
        <w:bidi/>
        <w:spacing w:after="120"/>
        <w:jc w:val="right"/>
      </w:pPr>
      <w:r>
        <w:rPr>
          <w:rFonts w:ascii="David" w:cs="David" w:eastAsia="David" w:hAnsi="David"/>
          <w:sz w:val="24"/>
          <w:szCs w:val="24"/>
          <w:rtl/>
        </w:rPr>
        <w:t xml:space="preserve"/>
      </w:r>
    </w:p>
    <w:p>
      <w:pPr>
        <w:pStyle w:val="Heading1"/>
        <w:bidi/>
        <w:spacing w:after="180" w:before="360"/>
        <w:jc w:val="right"/>
      </w:pPr>
      <w:r>
        <w:rPr>
          <w:rFonts w:ascii="David" w:cs="David" w:eastAsia="David" w:hAnsi="David"/>
          <w:b/>
          <w:bCs/>
          <w:color w:val="1F3864"/>
          <w:sz w:val="32"/>
          <w:szCs w:val="32"/>
          <w:rtl/>
        </w:rPr>
        <w:t xml:space="preserve">2.  מהלך המשחק והאלמנטים המהותיים</w:t>
      </w:r>
    </w:p>
    <w:p>
      <w:pPr>
        <w:pStyle w:val="Heading2"/>
        <w:bidi/>
        <w:spacing w:after="120" w:before="260"/>
        <w:jc w:val="right"/>
      </w:pPr>
      <w:r>
        <w:rPr>
          <w:rFonts w:ascii="David" w:cs="David" w:eastAsia="David" w:hAnsi="David"/>
          <w:b/>
          <w:bCs/>
          <w:color w:val="2E5496"/>
          <w:sz w:val="26"/>
          <w:szCs w:val="26"/>
          <w:rtl/>
        </w:rPr>
        <w:t xml:space="preserve">מהלך תור</w:t>
      </w:r>
    </w:p>
    <w:p>
      <w:pPr>
        <w:bidi/>
        <w:spacing w:after="140" w:line="340"/>
        <w:jc w:val="right"/>
      </w:pPr>
      <w:r>
        <w:rPr>
          <w:rFonts w:ascii="David" w:cs="David" w:eastAsia="David" w:hAnsi="David"/>
          <w:sz w:val="24"/>
          <w:szCs w:val="24"/>
          <w:rtl/>
        </w:rPr>
        <w:t xml:space="preserve">הלוח בנוי ממשושים ממוספרים. בין כל שני משושים סמוכים עובר קו צבעוני — "דלת". תור מורכב משלושה שלבים:</w:t>
      </w:r>
    </w:p>
    <w:p>
      <w:pPr>
        <w:pStyle w:val="ListParagraph"/>
        <w:numPr>
          <w:ilvl w:val="0"/>
          <w:numId w:val="2"/>
        </w:numPr>
        <w:bidi/>
        <w:spacing w:after="90" w:line="320"/>
        <w:jc w:val="right"/>
      </w:pPr>
      <w:r>
        <w:rPr>
          <w:rFonts w:ascii="David" w:cs="David" w:eastAsia="David" w:hAnsi="David"/>
          <w:sz w:val="24"/>
          <w:szCs w:val="24"/>
          <w:rtl/>
        </w:rPr>
        <w:t xml:space="preserve">שלב 1 — מציאת היעד: מוצג תרגיל כפל, והשחקן מאתר על הלוח את המשושה שמספרו הוא התשובה.</w:t>
      </w:r>
    </w:p>
    <w:p>
      <w:pPr>
        <w:pStyle w:val="ListParagraph"/>
        <w:numPr>
          <w:ilvl w:val="0"/>
          <w:numId w:val="2"/>
        </w:numPr>
        <w:bidi/>
        <w:spacing w:after="90" w:line="320"/>
        <w:jc w:val="right"/>
      </w:pPr>
      <w:r>
        <w:rPr>
          <w:rFonts w:ascii="David" w:cs="David" w:eastAsia="David" w:hAnsi="David"/>
          <w:sz w:val="24"/>
          <w:szCs w:val="24"/>
          <w:rtl/>
        </w:rPr>
        <w:t xml:space="preserve">שלב 2 — תכנון המסלול: השחקן בונה דרך מהכלב אל היעד, משושה אחר משושה.</w:t>
      </w:r>
    </w:p>
    <w:p>
      <w:pPr>
        <w:pStyle w:val="ListParagraph"/>
        <w:numPr>
          <w:ilvl w:val="0"/>
          <w:numId w:val="2"/>
        </w:numPr>
        <w:bidi/>
        <w:spacing w:after="90" w:line="320"/>
        <w:jc w:val="right"/>
      </w:pPr>
      <w:r>
        <w:rPr>
          <w:rFonts w:ascii="David" w:cs="David" w:eastAsia="David" w:hAnsi="David"/>
          <w:sz w:val="24"/>
          <w:szCs w:val="24"/>
          <w:rtl/>
        </w:rPr>
        <w:t xml:space="preserve">שלב 3 — ההליכה: בכל צעד נפתחת הדלת שעוברים בה, ומוצג תרגיל נוסף. תשובה נכונה מקדמת את הכלב וצוברת גרגירים.</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ארבעת האלמנטים המהותיים</w:t>
      </w:r>
    </w:p>
    <w:p>
      <w:pPr>
        <w:bidi/>
        <w:spacing w:after="140" w:line="340"/>
        <w:jc w:val="right"/>
      </w:pPr>
      <w:r>
        <w:rPr>
          <w:rFonts w:ascii="David" w:cs="David" w:eastAsia="David" w:hAnsi="David"/>
          <w:sz w:val="24"/>
          <w:szCs w:val="24"/>
          <w:rtl/>
        </w:rPr>
        <w:t xml:space="preserve">אלה הרכיבים שבלעדיהם המשחק אינו מה שהוא:</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אלמנט</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הוא עושה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הדלתות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דלת היא משפחת עובדות כפל בעלת רמת קושי אחת, ומשלמת בהתאם: כפל ב-2 וב-10 שווה גרגיר; כפל ב-5 שווה שניים; כפל ב-3 וב-4 שווה חמישה; ו-6·7·8·9 שווה עשרה.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שני סוגי שליפה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שלב מציאת היעד דורש שליפה ללא חלופות ובתוספת חיפוש חזותי. שלב הדלתות מאפשר גם בחירה מבין ארבע חלופות. שתי דרישות שונות מאותו ידע.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הכלב</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התאמות שנועדו להסיר חסמים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חסם</w:t>
            </w:r>
          </w:p>
        </w:tc>
        <w:tc>
          <w:tcPr>
            <w:tcW w:type="dxa" w:w="68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ההתאמה</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עיוורון צבעים</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מוטורי</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משושה בלוח נגיש במקלדת ונושא תווית קולית.</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לחץ זמן</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השעון כבוי כברירת מחדל בכל הרמות. כשהוא פועל, משכו נגזר מאורך המסלול ולא קבוע.</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הסחות דעת</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מצב מיקוד מסיר את המשושים המיוחדים.</w:t>
            </w:r>
          </w:p>
        </w:tc>
      </w:tr>
      <w:tr>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קריאה</w:t>
            </w:r>
          </w:p>
        </w:tc>
        <w:tc>
          <w:tcPr>
            <w:tcW w:type="dxa" w:w="68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 טקסט שילד חייב לקרוא הוגדל ל-12.5 פיקסלים לפחות, והניגודיות עומדת ביחס 4.5:1.</w:t>
            </w:r>
          </w:p>
        </w:tc>
      </w:tr>
    </w:tbl>
    <w:p>
      <w:pPr>
        <w:bidi/>
        <w:spacing w:after="120"/>
        <w:jc w:val="right"/>
      </w:pPr>
      <w:r>
        <w:rPr>
          <w:rFonts w:ascii="David" w:cs="David" w:eastAsia="David" w:hAnsi="David"/>
          <w:sz w:val="24"/>
          <w:szCs w:val="24"/>
          <w:rtl/>
        </w:rPr>
        <w:t xml:space="preserve"/>
      </w:r>
    </w:p>
    <w:p>
      <w:r>
        <w:br w:type="page"/>
      </w:r>
    </w:p>
    <w:p>
      <w:pPr>
        <w:pStyle w:val="Heading1"/>
        <w:bidi/>
        <w:spacing w:after="180" w:before="360"/>
        <w:jc w:val="right"/>
      </w:pPr>
      <w:r>
        <w:rPr>
          <w:rFonts w:ascii="David" w:cs="David" w:eastAsia="David" w:hAnsi="David"/>
          <w:b/>
          <w:bCs/>
          <w:color w:val="1F3864"/>
          <w:sz w:val="32"/>
          <w:szCs w:val="32"/>
          <w:rtl/>
        </w:rPr>
        <w:t xml:space="preserve">3.  איך המשחק משיג את המטרות — ניתוח לפי מאמ"י</w:t>
      </w:r>
    </w:p>
    <w:p>
      <w:pPr>
        <w:bidi/>
        <w:spacing w:after="140" w:line="340"/>
        <w:jc w:val="right"/>
      </w:pPr>
      <w:r>
        <w:rPr>
          <w:rFonts w:ascii="David" w:cs="David" w:eastAsia="David" w:hAnsi="David"/>
          <w:sz w:val="24"/>
          <w:szCs w:val="24"/>
          <w:rtl/>
        </w:rPr>
        <w:t xml:space="preserve">הניתוח נערך לפי המבנה שהוגדר על ידי המנחה: מטלה, אסטרטגיה, מנגנונים, ידע. מתחילים מהמטלה הפדגוגית; מזהים את האסטרטגיה, שהיא רצף הפעולות שבוצעו בפועל; ומפרקים אותה לשניים — הידע שהיא דורשת והמנגנונים הקוגניטיביים שהיא מפעילה.</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מטלה</w:t>
      </w:r>
    </w:p>
    <w:p>
      <w:pPr>
        <w:bidi/>
        <w:spacing w:after="140" w:line="340"/>
        <w:jc w:val="right"/>
      </w:pPr>
      <w:r>
        <w:rPr>
          <w:rFonts w:ascii="David" w:cs="David" w:eastAsia="David" w:hAnsi="David"/>
          <w:sz w:val="24"/>
          <w:szCs w:val="24"/>
          <w:rtl/>
        </w:rPr>
        <w:t xml:space="preserve">שליפת עובדת כפל חד-ספרתית. ראו סעיף 1.</w:t>
      </w:r>
    </w:p>
    <w:p>
      <w:pPr>
        <w:pStyle w:val="Heading2"/>
        <w:bidi/>
        <w:spacing w:after="120" w:before="260"/>
        <w:jc w:val="right"/>
      </w:pPr>
      <w:r>
        <w:rPr>
          <w:rFonts w:ascii="David" w:cs="David" w:eastAsia="David" w:hAnsi="David"/>
          <w:b/>
          <w:bCs/>
          <w:color w:val="2E5496"/>
          <w:sz w:val="26"/>
          <w:szCs w:val="26"/>
          <w:rtl/>
        </w:rPr>
        <w:t xml:space="preserve">אסטרטגיה — רצף הפעולות בפועל</w:t>
      </w:r>
    </w:p>
    <w:p>
      <w:pPr>
        <w:bidi/>
        <w:spacing w:after="140" w:line="340"/>
        <w:jc w:val="right"/>
      </w:pPr>
      <w:r>
        <w:rPr>
          <w:rFonts w:ascii="David" w:cs="David" w:eastAsia="David" w:hAnsi="David"/>
          <w:sz w:val="24"/>
          <w:szCs w:val="24"/>
          <w:rtl/>
        </w:rPr>
        <w:t xml:space="preserve">הרצף הוא: פתרון ואיתור על הלוח, תכנון מסלול, ואז שליפה חוזרת בכל צעד. שלב 1 ושלב 3 אינם אותה מטלה, וההפרדה ביניהם מכוונת: שלב 1 בודק שליפה חופשית, שלב 3 מאפשר זיהוי מבין חלופות.</w:t>
      </w:r>
    </w:p>
    <w:p>
      <w:pPr>
        <w:bidi/>
        <w:spacing w:after="140" w:line="340"/>
        <w:jc w:val="right"/>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Patall, Cooper ו-Robinson (2008) מצאה השפעה חיובית של בחירה על מוטיבציה פנימית.</w:t>
      </w:r>
    </w:p>
    <w:p>
      <w:pPr>
        <w:pStyle w:val="Heading2"/>
        <w:bidi/>
        <w:spacing w:after="120" w:before="260"/>
        <w:jc w:val="right"/>
      </w:pPr>
      <w:r>
        <w:rPr>
          <w:rFonts w:ascii="David" w:cs="David" w:eastAsia="David" w:hAnsi="David"/>
          <w:b/>
          <w:bCs/>
          <w:color w:val="2E5496"/>
          <w:sz w:val="26"/>
          <w:szCs w:val="26"/>
          <w:rtl/>
        </w:rPr>
        <w:t xml:space="preserve">מנגנונים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00"/>
      </w:tblGrid>
      <w:tr>
        <w:trPr>
          <w:tblHeader/>
        </w:trPr>
        <w:tc>
          <w:tcPr>
            <w:tcW w:type="dxa" w:w="19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מנגנון</w:t>
            </w:r>
          </w:p>
        </w:tc>
        <w:tc>
          <w:tcPr>
            <w:tcW w:type="dxa" w:w="2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מקור</w:t>
            </w:r>
          </w:p>
        </w:tc>
        <w:tc>
          <w:tcPr>
            <w:tcW w:type="dxa" w:w="45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נגזר לעיצוב</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שליפה מזיכרון ארוך טווח</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Karpicke ו-Roediger (2008)</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רגישות להפרעה בזיכרון</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De Visscher ו-Noël (2014)</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c>
          <w:tcPr>
            <w:tcW w:type="dxa" w:w="19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זיכרון עבודה</w:t>
            </w:r>
          </w:p>
        </w:tc>
        <w:tc>
          <w:tcPr>
            <w:tcW w:type="dxa" w:w="2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Ashcraft ו-Krause (2007); Ramirez ואחרים (2013)</w:t>
            </w:r>
          </w:p>
        </w:tc>
        <w:tc>
          <w:tcPr>
            <w:tcW w:type="dxa" w:w="45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ידע — ארגון התוכן</w:t>
      </w:r>
    </w:p>
    <w:p>
      <w:pPr>
        <w:bidi/>
        <w:spacing w:after="140" w:line="340"/>
        <w:jc w:val="right"/>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40" w:line="340"/>
        <w:jc w:val="right"/>
      </w:pPr>
      <w:r>
        <w:rPr>
          <w:rFonts w:ascii="David" w:cs="David" w:eastAsia="David" w:hAnsi="David"/>
          <w:sz w:val="24"/>
          <w:szCs w:val="24"/>
          <w:rtl/>
        </w:rPr>
        <w:t xml:space="preserve">Verguts ו-Fias (2005) מונים שלושה ממצאים מרכזיים בשליפת עובדות כפל: אפקט גודל הבעיה, שלפיו תרגילים קטנים קלים מגדולים; אפקט החמש, שלפיו תרגילים המכילים 5 קלים יותר ממה שגודלם מסביר; ואפקט האופרנד החוזר, שלפיו תרגילים עם שני אופרנדים זהים קלים מאחרים. ניסוח אפקט החמש הוא הראיה הישירה לכך שהגודל אינו מספיק. LeFevre, Shanahan ו-DeStefano (2004) הראו שתרגילים עם אופרנד חוזר נפתרים מהר ובדיוק רב יותר, ושאפקט גודל הבעיה כמעט אינו חל עליהם. Domahs, Delazer ו-Nuerk (2006) הראו שעקביות השכנוּת מסבירה את אפקט גודל הבעיה במלואו. Dickson ואחרים (2022) אישרו את האפקט אצל ילדים, ביתרון של 317 מילישניות.</w:t>
      </w:r>
    </w:p>
    <w:p>
      <w:pPr>
        <w:bidi/>
        <w:spacing w:after="140" w:line="340"/>
        <w:jc w:val="right"/>
      </w:pPr>
      <w:r>
        <w:rPr>
          <w:rFonts w:ascii="David" w:cs="David" w:eastAsia="David" w:hAnsi="David"/>
          <w:sz w:val="24"/>
          <w:szCs w:val="24"/>
          <w:rtl/>
        </w:rPr>
        <w:t xml:space="preserve">בעקבות זאת הוגדרה כל דלת כמשפחת עובדות ולא כטווח תשובות: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3400"/>
        <w:gridCol w:w="3300"/>
      </w:tblGrid>
      <w:tr>
        <w:trPr>
          <w:tblHeader/>
        </w:trPr>
        <w:tc>
          <w:tcPr>
            <w:tcW w:type="dxa" w:w="1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דלת</w:t>
            </w:r>
          </w:p>
        </w:tc>
        <w:tc>
          <w:tcPr>
            <w:tcW w:type="dxa" w:w="11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גרגירים</w:t>
            </w:r>
          </w:p>
        </w:tc>
        <w:tc>
          <w:tcPr>
            <w:tcW w:type="dxa" w:w="34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משפחה</w:t>
            </w:r>
          </w:p>
        </w:tc>
        <w:tc>
          <w:tcPr>
            <w:tcW w:type="dxa" w:w="33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מה מקל</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כחולה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ב-2 וב-10</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כלל שאפשר להפעיל בלי שליפה. ראו להלן</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סגולה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2</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ב-5, ואופרנד חוזר קטן</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החמש; 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כתומה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כפל ב-3 וב-4, ושאר האופרנדים החוזרים</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האופרנד החוזר</w:t>
            </w:r>
          </w:p>
        </w:tc>
      </w:tr>
      <w:tr>
        <w:tc>
          <w:tcPr>
            <w:tcW w:type="dxa" w:w="1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אדומה</w:t>
            </w:r>
          </w:p>
        </w:tc>
        <w:tc>
          <w:tcPr>
            <w:tcW w:type="dxa" w:w="11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10</w:t>
            </w:r>
          </w:p>
        </w:tc>
        <w:tc>
          <w:tcPr>
            <w:tcW w:type="dxa" w:w="34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6×7, 6×8, 6×9, 7×8, 7×9, 8×9</w:t>
            </w:r>
          </w:p>
        </w:tc>
        <w:tc>
          <w:tcPr>
            <w:tcW w:type="dxa" w:w="33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אפקט גודל הבעיה</w:t>
            </w:r>
          </w:p>
        </w:tc>
      </w:tr>
    </w:tbl>
    <w:p>
      <w:pPr>
        <w:bidi/>
        <w:spacing w:after="120"/>
        <w:jc w:val="right"/>
      </w:pPr>
      <w:r>
        <w:rPr>
          <w:rFonts w:ascii="David" w:cs="David" w:eastAsia="David" w:hAnsi="David"/>
          <w:sz w:val="24"/>
          <w:szCs w:val="24"/>
          <w:rtl/>
        </w:rPr>
        <w:t xml:space="preserve"/>
      </w:r>
    </w:p>
    <w:p>
      <w:pPr>
        <w:bidi/>
        <w:spacing w:after="140" w:line="340"/>
        <w:jc w:val="right"/>
      </w:pPr>
      <w:r>
        <w:rPr>
          <w:rFonts w:ascii="David" w:cs="David" w:eastAsia="David" w:hAnsi="David"/>
          <w:sz w:val="24"/>
          <w:szCs w:val="24"/>
          <w:rtl/>
        </w:rPr>
        <w:t xml:space="preserve">החלוקה ממצה ובלעדית: 45 עובדות לוח הכפל, כל אחת בדלת אחת בדיוק. לכן ערכה של עובדה נתונה קבוע, ומה שדלת משלמת תואם למה שהיא דורשת.</w:t>
      </w:r>
    </w:p>
    <w:p>
      <w:pPr>
        <w:pStyle w:val="Heading2"/>
        <w:bidi/>
        <w:spacing w:after="120" w:before="260"/>
        <w:jc w:val="right"/>
      </w:pPr>
      <w:r>
        <w:rPr>
          <w:rFonts w:ascii="David" w:cs="David" w:eastAsia="David" w:hAnsi="David"/>
          <w:b/>
          <w:bCs/>
          <w:color w:val="2E5496"/>
          <w:sz w:val="26"/>
          <w:szCs w:val="26"/>
          <w:rtl/>
        </w:rPr>
        <w:t xml:space="preserve">הדלת הכחולה: שני כללים שונים, לא גודל</w:t>
      </w:r>
    </w:p>
    <w:p>
      <w:pPr>
        <w:bidi/>
        <w:spacing w:after="140" w:line="340"/>
        <w:jc w:val="right"/>
      </w:pPr>
      <w:r>
        <w:rPr>
          <w:rFonts w:ascii="David" w:cs="David" w:eastAsia="David" w:hAnsi="David"/>
          <w:sz w:val="24"/>
          <w:szCs w:val="24"/>
          <w:rtl/>
        </w:rPr>
        <w:t xml:space="preserve">הדלת הקלה מקבצת שתי משפחות שקל להפעיל עליהן כלל במקום לשלוף מהזיכרון — אבל הכלל אינו זהה בשתיהן, וכדאי להפריד:</w:t>
      </w:r>
    </w:p>
    <w:p>
      <w:pPr>
        <w:pStyle w:val="ListParagraph"/>
        <w:numPr>
          <w:ilvl w:val="0"/>
          <w:numId w:val="2"/>
        </w:numPr>
        <w:bidi/>
        <w:spacing w:after="90" w:line="320"/>
        <w:jc w:val="right"/>
      </w:pPr>
      <w:r>
        <w:rPr>
          <w:rFonts w:ascii="David" w:cs="David" w:eastAsia="David" w:hAnsi="David"/>
          <w:sz w:val="24"/>
          <w:szCs w:val="24"/>
          <w:rtl/>
        </w:rPr>
        <w:t xml:space="preserve">כפל ב-2 הוא הכפלה, פעולה חיבורית שהילד כבר שולט בה לפני שהוא לומד כפל.</w:t>
      </w:r>
    </w:p>
    <w:p>
      <w:pPr>
        <w:pStyle w:val="ListParagraph"/>
        <w:numPr>
          <w:ilvl w:val="0"/>
          <w:numId w:val="2"/>
        </w:numPr>
        <w:bidi/>
        <w:spacing w:after="90" w:line="320"/>
        <w:jc w:val="right"/>
      </w:pPr>
      <w:r>
        <w:rPr>
          <w:rFonts w:ascii="David" w:cs="David" w:eastAsia="David" w:hAnsi="David"/>
          <w:sz w:val="24"/>
          <w:szCs w:val="24"/>
          <w:rtl/>
        </w:rPr>
        <w:t xml:space="preserve">כפל ב-10 הוא כלל ייצוג בבסיס עשר — הוספת ספרת אפס. הוא אינו נשען על חשבון כלל.</w:t>
      </w:r>
    </w:p>
    <w:p>
      <w:pPr>
        <w:bidi/>
        <w:spacing w:after="140" w:line="340"/>
        <w:jc w:val="right"/>
      </w:pPr>
      <w:r>
        <w:rPr>
          <w:rFonts w:ascii="David" w:cs="David" w:eastAsia="David" w:hAnsi="David"/>
          <w:sz w:val="24"/>
          <w:szCs w:val="24"/>
          <w:rtl/>
        </w:rPr>
        <w:t xml:space="preserve">ההבחנה חשובה כי היא מדגימה בדיוק את הטענה שגודל אינו מנבא מספיק: 9×10 = 90 היא מכפלה גדולה ומהעובדות הקלות בלוח, ואילו 6×7 = 42 היא מכפלה קטנה יותר ומהקשות שבו. באותה שקופית שבה המנחה ממחיש את אפקט גודל הבעיה ("למשל במתמטיקה, 2×3 קל יותר מ-8×7") הוא מדגים את ההשפעה של הגודל; הדלת הכחולה מבוססת על מנגנון אחר, של גזירוּת מכלל.</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2CC" w:val="clear"/>
            <w:tcMar>
              <w:top w:type="dxa" w:w="140"/>
              <w:left w:type="dxa" w:w="160"/>
              <w:bottom w:type="dxa" w:w="140"/>
              <w:right w:type="dxa" w:w="160"/>
            </w:tcMar>
          </w:tcPr>
          <w:p>
            <w:pPr>
              <w:bidi/>
              <w:spacing w:after="80" w:line="320"/>
              <w:jc w:val="right"/>
            </w:pPr>
            <w:r>
              <w:rPr>
                <w:rFonts w:ascii="David" w:cs="David" w:eastAsia="David" w:hAnsi="David"/>
                <w:b/>
                <w:bCs/>
                <w:sz w:val="22"/>
                <w:szCs w:val="22"/>
                <w:rtl/>
              </w:rPr>
              <w:t xml:space="preserve">מה שאין ומה שיש</w:t>
            </w:r>
          </w:p>
          <w:p>
            <w:pPr>
              <w:bidi/>
              <w:spacing w:after="80" w:line="320"/>
              <w:jc w:val="right"/>
            </w:pPr>
            <w:r>
              <w:rPr>
                <w:rFonts w:ascii="David" w:cs="David" w:eastAsia="David" w:hAnsi="David"/>
                <w:b w:val="false"/>
                <w:bCs w:val="false"/>
                <w:sz w:val="22"/>
                <w:szCs w:val="22"/>
                <w:rtl/>
              </w:rPr>
              <w:t xml:space="preserve">אפקט החמש (Verguts ו-Fias, 2005) הוא ממצא מתועד שקובע במפורש שמשפחת עובדות שלמה קלה יותר ממה שגודלה מסביר. זהו התקדים העקרוני שעליו נשענת הדלת הכחולה.</w:t>
            </w:r>
          </w:p>
          <w:p>
            <w:pPr>
              <w:bidi/>
              <w:spacing w:after="80" w:line="320"/>
              <w:jc w:val="right"/>
            </w:pPr>
            <w:r>
              <w:rPr>
                <w:rFonts w:ascii="David" w:cs="David" w:eastAsia="David" w:hAnsi="David"/>
                <w:b w:val="false"/>
                <w:bCs w:val="false"/>
                <w:sz w:val="22"/>
                <w:szCs w:val="22"/>
                <w:rtl/>
              </w:rPr>
              <w:t xml:space="preserve">עם זאת, לא אותר ממצא אמפירי ייעודי לכפל ב-2 או לכפל ב-10 במעמד דומה. הנימוק כאן הוא מבני — גזירוּת מכלל — ולא אמפירי, והוא מוצג ככזה ולא כמסקנה מהספרות.</w:t>
            </w:r>
          </w:p>
        </w:tc>
      </w:tr>
    </w:tbl>
    <w:p>
      <w:pPr>
        <w:pStyle w:val="Heading2"/>
        <w:bidi/>
        <w:spacing w:after="120" w:before="260"/>
        <w:jc w:val="right"/>
      </w:pPr>
      <w:r>
        <w:rPr>
          <w:rFonts w:ascii="David" w:cs="David" w:eastAsia="David" w:hAnsi="David"/>
          <w:b/>
          <w:bCs/>
          <w:color w:val="2E5496"/>
          <w:sz w:val="26"/>
          <w:szCs w:val="26"/>
          <w:rtl/>
        </w:rPr>
        <w:t xml:space="preserve">הפרדה בין תגמול לרצף</w:t>
      </w:r>
    </w:p>
    <w:p>
      <w:pPr>
        <w:bidi/>
        <w:spacing w:after="140" w:line="340"/>
        <w:jc w:val="right"/>
      </w:pPr>
      <w:r>
        <w:rPr>
          <w:rFonts w:ascii="David" w:cs="David" w:eastAsia="David" w:hAnsi="David"/>
          <w:sz w:val="24"/>
          <w:szCs w:val="24"/>
          <w:rtl/>
        </w:rPr>
        <w:t xml:space="preserve">Dotan ו-Zviran-Ginat (2022)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40" w:line="340"/>
        <w:jc w:val="right"/>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 שבה קיימת דלת אחת — כל תרגילי התור באו מאותה משפחה. השניים הופרדו: מבנה התגמול נותר, ונוסף מנגנון המעדיף בכל צעד עובדה שאינה חולקת ספרה עם קודמתה.</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לפני</w:t>
            </w:r>
          </w:p>
        </w:tc>
        <w:tc>
          <w:tcPr>
            <w:tcW w:type="dxa" w:w="22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אחרי</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רמת מתחילים (דלת אחת)</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57.8%</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1.2%</w:t>
            </w:r>
          </w:p>
        </w:tc>
      </w:tr>
      <w:tr>
        <w:tc>
          <w:tcPr>
            <w:tcW w:type="dxa" w:w="46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דלת סגולה</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63.8%</w:t>
            </w:r>
          </w:p>
        </w:tc>
        <w:tc>
          <w:tcPr>
            <w:tcW w:type="dxa" w:w="22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0.6%</w:t>
            </w:r>
          </w:p>
        </w:tc>
      </w:tr>
    </w:tbl>
    <w:p>
      <w:pPr>
        <w:bidi/>
        <w:spacing w:after="140" w:line="340"/>
        <w:jc w:val="right"/>
      </w:pPr>
      <w:r>
        <w:rPr>
          <w:rFonts w:ascii="David" w:cs="David" w:eastAsia="David" w:hAnsi="David"/>
          <w:sz w:val="24"/>
          <w:szCs w:val="24"/>
          <w:rtl/>
        </w:rPr>
        <w:t xml:space="preserve">שיעור זוגות התרגילים העוקבים החולקים ספרה, בסימולציה של 4,000 תורות. ההעדפה אינה כלל מוחלט: במשפחה בת דלת אחת לא תמיד קיים זוג חסר חפיפה, ואכיפה מלאה הייתה עוצרת את התור.</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קריטריון — מה נמדד ומה אינו מדיד</w:t>
      </w:r>
    </w:p>
    <w:p>
      <w:pPr>
        <w:bidi/>
        <w:spacing w:after="140" w:line="340"/>
        <w:jc w:val="right"/>
      </w:pPr>
      <w:r>
        <w:rPr>
          <w:rFonts w:ascii="David" w:cs="David" w:eastAsia="David" w:hAnsi="David"/>
          <w:sz w:val="24"/>
          <w:szCs w:val="24"/>
          <w:rtl/>
        </w:rPr>
        <w:t xml:space="preserve">לכל פריט נשמרים התרגיל, נכונות התשובה, זמן תגובה, מספר ניסיונות ושימוש בעזרה. שתי מגבלות מחייבות הצהרה. 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 וכן, מטא-אנליזה של Douglas ואחרים (2026) מצאה שהתערבויות לשטף בעובדות חשבון בנות שלושים מפגשים ומעלה הניבו אפקטים גדולים יותר מקצרות, ולכן פיילוט קצר אינו צפוי להראות אפקט רכישה.</w:t>
      </w:r>
    </w:p>
    <w:p>
      <w:r>
        <w:br w:type="page"/>
      </w:r>
    </w:p>
    <w:p>
      <w:pPr>
        <w:pStyle w:val="Heading1"/>
        <w:bidi/>
        <w:spacing w:after="180" w:before="360"/>
        <w:jc w:val="right"/>
      </w:pPr>
      <w:r>
        <w:rPr>
          <w:rFonts w:ascii="David" w:cs="David" w:eastAsia="David" w:hAnsi="David"/>
          <w:b/>
          <w:bCs/>
          <w:color w:val="1F3864"/>
          <w:sz w:val="32"/>
          <w:szCs w:val="32"/>
          <w:rtl/>
        </w:rPr>
        <w:t xml:space="preserve">4.  שיקול התאוריה: מה נכנס, מה לא, ולמה</w:t>
      </w:r>
    </w:p>
    <w:p>
      <w:pPr>
        <w:bidi/>
        <w:spacing w:after="140" w:line="340"/>
        <w:jc w:val="right"/>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spacing w:after="120" w:before="260"/>
        <w:jc w:val="right"/>
      </w:pPr>
      <w:r>
        <w:rPr>
          <w:rFonts w:ascii="David" w:cs="David" w:eastAsia="David" w:hAnsi="David"/>
          <w:b/>
          <w:bCs/>
          <w:color w:val="2E5496"/>
          <w:sz w:val="26"/>
          <w:szCs w:val="26"/>
          <w:rtl/>
        </w:rPr>
        <w:t xml:space="preserve">מה נכנס</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תאוריה</w:t>
            </w:r>
          </w:p>
        </w:tc>
        <w:tc>
          <w:tcPr>
            <w:tcW w:type="dxa" w:w="6000"/>
            <w:shd w:fill="DCE6F1" w:val="clear"/>
            <w:tcMar>
              <w:top w:type="dxa" w:w="80"/>
              <w:left w:type="dxa" w:w="110"/>
              <w:bottom w:type="dxa" w:w="80"/>
              <w:right w:type="dxa" w:w="110"/>
            </w:tcMar>
          </w:tcPr>
          <w:p>
            <w:pPr>
              <w:bidi/>
              <w:spacing w:after="0" w:line="300"/>
              <w:jc w:val="right"/>
            </w:pPr>
            <w:r>
              <w:rPr>
                <w:rFonts w:ascii="David" w:cs="David" w:eastAsia="David" w:hAnsi="David"/>
                <w:b/>
                <w:bCs/>
                <w:sz w:val="22"/>
                <w:szCs w:val="22"/>
                <w:rtl/>
              </w:rPr>
              <w:t xml:space="preserve">ההחלטה שהיא הכריעה</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ממצאי שליפת עובדות כפל
(Verguts ו-Fias, 2005 ואחרים)</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הפרעה בזיכרון
(Dotan ו-Zviran-Ginat, 2022)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מנגנון פיזור הרצף. שינה את בחירת התרגיל הבא.</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מוטיבציה פנימית
(Deci ו-Ryan, 2010)</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c>
          <w:tcPr>
            <w:tcW w:type="dxa" w:w="3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ליקוי שליפה
(Geary ואחרים, 2012)</w:t>
            </w:r>
          </w:p>
        </w:tc>
        <w:tc>
          <w:tcPr>
            <w:tcW w:type="dxa" w:w="6000"/>
            <w:tcMar>
              <w:top w:type="dxa" w:w="80"/>
              <w:left w:type="dxa" w:w="110"/>
              <w:bottom w:type="dxa" w:w="80"/>
              <w:right w:type="dxa" w:w="110"/>
            </w:tcMar>
          </w:tcPr>
          <w:p>
            <w:pPr>
              <w:bidi/>
              <w:spacing w:after="0" w:line="300"/>
              <w:jc w:val="right"/>
            </w:pPr>
            <w:r>
              <w:rPr>
                <w:rFonts w:ascii="David" w:cs="David" w:eastAsia="David" w:hAnsi="David"/>
                <w:b w:val="false"/>
                <w:bCs w:val="false"/>
                <w:sz w:val="22"/>
                <w:szCs w:val="22"/>
                <w:rtl/>
              </w:rPr>
              <w:t xml:space="preserve">מדידת זמן תגובה ולא רק נכונות.</w:t>
            </w:r>
          </w:p>
        </w:tc>
      </w:tr>
    </w:tbl>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לא נכנס, ולמה</w:t>
      </w:r>
    </w:p>
    <w:p>
      <w:pPr>
        <w:pStyle w:val="ListParagraph"/>
        <w:numPr>
          <w:ilvl w:val="0"/>
          <w:numId w:val="2"/>
        </w:numPr>
        <w:bidi/>
        <w:spacing w:after="90" w:line="320"/>
        <w:jc w:val="right"/>
      </w:pPr>
      <w:r>
        <w:rPr>
          <w:rFonts w:ascii="David" w:cs="David" w:eastAsia="David" w:hAnsi="David"/>
          <w:sz w:val="24"/>
          <w:szCs w:val="24"/>
          <w:rtl/>
        </w:rPr>
        <w:t xml:space="preserve">תאוריות למידה כלליות מעבר לעומס הקוגניטיבי — לא הכריעו כאן שום החלטה, והכנסתן הייתה מוסיפה נפח ולא ביסוס.</w:t>
      </w:r>
    </w:p>
    <w:p>
      <w:pPr>
        <w:pStyle w:val="ListParagraph"/>
        <w:numPr>
          <w:ilvl w:val="0"/>
          <w:numId w:val="2"/>
        </w:numPr>
        <w:bidi/>
        <w:spacing w:after="90" w:line="320"/>
        <w:jc w:val="right"/>
      </w:pPr>
      <w:r>
        <w:rPr>
          <w:rFonts w:ascii="David" w:cs="David" w:eastAsia="David" w:hAnsi="David"/>
          <w:sz w:val="24"/>
          <w:szCs w:val="24"/>
          <w:rtl/>
        </w:rPr>
        <w:t xml:space="preserve">טענה שמדידת זמן במשחק מזיקה — לא נמצאה לה ראיה. הספרות עוסקת בחרדת מתמטיקה ובזיכרון עבודה, לא בתזמון במשחק. כיבוי השעון מנומק בדרישת תקן הנגישות ובמנגנון שתיארו Ramirez ואחרים (2013), ולא בראיה ישירה.</w:t>
      </w:r>
    </w:p>
    <w:p>
      <w:pPr>
        <w:pStyle w:val="ListParagraph"/>
        <w:numPr>
          <w:ilvl w:val="0"/>
          <w:numId w:val="2"/>
        </w:numPr>
        <w:bidi/>
        <w:spacing w:after="90" w:line="320"/>
        <w:jc w:val="right"/>
      </w:pPr>
      <w:r>
        <w:rPr>
          <w:rFonts w:ascii="David" w:cs="David" w:eastAsia="David" w:hAnsi="David"/>
          <w:sz w:val="24"/>
          <w:szCs w:val="24"/>
          <w:rtl/>
        </w:rPr>
        <w:t xml:space="preserve">טענה שמשוב מיידי מועיל תמיד — Kluger ו-DeNisi (1996) מצאו שהשפעת התערבויות משוב אינה חיובית באופן אחיד, וחלקן פגעו בביצוע.</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מה שהמסגרת חושפת כחסר</w:t>
      </w:r>
    </w:p>
    <w:p>
      <w:pPr>
        <w:bidi/>
        <w:spacing w:after="140" w:line="340"/>
        <w:jc w:val="right"/>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 יש מצב רב-משתתפים ומצב שיתופי — אך לא תוכנן מתוך המסגרת הזו ולא נבדק. זהו פער אמיתי, והוא מוצהר ולא מטושטש.</w:t>
      </w:r>
    </w:p>
    <w:p>
      <w:pPr>
        <w:bidi/>
        <w:spacing w:after="120"/>
        <w:jc w:val="right"/>
      </w:pPr>
      <w:r>
        <w:rPr>
          <w:rFonts w:ascii="David" w:cs="David" w:eastAsia="David" w:hAnsi="David"/>
          <w:sz w:val="24"/>
          <w:szCs w:val="24"/>
          <w:rtl/>
        </w:rPr>
        <w:t xml:space="preserve"/>
      </w:r>
    </w:p>
    <w:p>
      <w:pPr>
        <w:pStyle w:val="Heading2"/>
        <w:bidi/>
        <w:spacing w:after="120" w:before="260"/>
        <w:jc w:val="right"/>
      </w:pPr>
      <w:r>
        <w:rPr>
          <w:rFonts w:ascii="David" w:cs="David" w:eastAsia="David" w:hAnsi="David"/>
          <w:b/>
          <w:bCs/>
          <w:color w:val="2E5496"/>
          <w:sz w:val="26"/>
          <w:szCs w:val="26"/>
          <w:rtl/>
        </w:rPr>
        <w:t xml:space="preserve">נגישות כתנאי סף</w:t>
      </w:r>
    </w:p>
    <w:p>
      <w:pPr>
        <w:bidi/>
        <w:spacing w:after="140" w:line="340"/>
        <w:jc w:val="right"/>
      </w:pPr>
      <w:r>
        <w:rPr>
          <w:rFonts w:ascii="David" w:cs="David" w:eastAsia="David" w:hAnsi="David"/>
          <w:sz w:val="24"/>
          <w:szCs w:val="24"/>
          <w:rtl/>
        </w:rPr>
        <w:t xml:space="preserve">זיהוי הדלתות נשען בתחילה על צבע בלבד. בשכיחות עיוורון צבעים אדום-ירוק של כ-8% בגברים (Birch, 2012), פירוש הדבר שילד אחד או שניים בכיתה אינם מבחינים בין הדלת ששווה גרגיר לזו ששווה שניים — כלומר המנגנון האסטרטגי כולו אינו זמין להם. בסימולציה של עיוורון צבעים ארבעת צבעי הדלתות התמזגו לשניים.</w:t>
      </w:r>
    </w:p>
    <w:p>
      <w:pPr>
        <w:bidi/>
        <w:spacing w:after="140" w:line="340"/>
        <w:jc w:val="right"/>
      </w:pPr>
      <w:r>
        <w:rPr>
          <w:rFonts w:ascii="David" w:cs="David" w:eastAsia="David" w:hAnsi="David"/>
          <w:sz w:val="24"/>
          <w:szCs w:val="24"/>
          <w:rtl/>
        </w:rPr>
        <w:t xml:space="preserve">המשחק עומד כיום בקריטריונים הבאים של תקן WCAG 2.2 (W3C, 2024): 1.4.1 (צבע אינו הערוץ היחיד), 1.4.3 (ניגודיות 4.5:1), 2.1.1 (הפעלה מלאה במקלדת), 2.2.1 (אפשרות לכבות מגבלת זמן), 2.2.2 (עצירת תנועה אוטומטית) ו-2.5.8 (גודל יעד מגע).</w:t>
      </w:r>
    </w:p>
    <w:p>
      <w:r>
        <w:br w:type="page"/>
      </w:r>
    </w:p>
    <w:p>
      <w:pPr>
        <w:pStyle w:val="Heading1"/>
        <w:bidi/>
        <w:spacing w:after="180" w:before="360"/>
        <w:jc w:val="right"/>
      </w:pPr>
      <w:r>
        <w:rPr>
          <w:rFonts w:ascii="David" w:cs="David" w:eastAsia="David" w:hAnsi="David"/>
          <w:b/>
          <w:bCs/>
          <w:color w:val="1F3864"/>
          <w:sz w:val="32"/>
          <w:szCs w:val="32"/>
          <w:rtl/>
        </w:rPr>
        <w:t xml:space="preserve">מקורות</w:t>
      </w:r>
    </w:p>
    <w:p>
      <w:pPr>
        <w:bidi/>
        <w:spacing w:after="140" w:line="340"/>
        <w:jc w:val="right"/>
      </w:pPr>
      <w:r>
        <w:rPr>
          <w:rFonts w:ascii="David" w:cs="David" w:eastAsia="David" w:hAnsi="David"/>
          <w:sz w:val="24"/>
          <w:szCs w:val="24"/>
          <w:rtl/>
        </w:rPr>
        <w:t xml:space="preserve">כל המקורות אומתו מול הרישום הביבליוגרפי של CrossRef ומול מאגר Europe PMC.</w:t>
      </w:r>
    </w:p>
    <w:p>
      <w:pPr>
        <w:bidi w:val="false"/>
        <w:spacing w:after="110" w:line="300"/>
        <w:ind w:left="400" w:hanging="400"/>
        <w:jc w:val="left"/>
      </w:pPr>
      <w:r>
        <w:rPr>
          <w:rFonts w:ascii="David" w:cs="David" w:eastAsia="David" w:hAnsi="David"/>
          <w:sz w:val="21"/>
          <w:szCs w:val="21"/>
        </w:rPr>
        <w:t xml:space="preserve">Ashcraft, M. H., &amp; Krause, J. A. (2007). Working memory, math performance, and math anxiety. Psychonomic Bulletin &amp; Review, 14(2), 243–248. https://doi.org/10.3758/BF03194059</w:t>
      </w:r>
    </w:p>
    <w:p>
      <w:pPr>
        <w:bidi w:val="false"/>
        <w:spacing w:after="110" w:line="300"/>
        <w:ind w:left="400" w:hanging="400"/>
        <w:jc w:val="left"/>
      </w:pPr>
      <w:r>
        <w:rPr>
          <w:rFonts w:ascii="David" w:cs="David" w:eastAsia="David" w:hAnsi="David"/>
          <w:sz w:val="21"/>
          <w:szCs w:val="21"/>
        </w:rPr>
        <w:t xml:space="preserve">Birch, J. (2012). Worldwide prevalence of red-green color deficiency. Journal of the Optical Society of America A, 29(3), 313. https://doi.org/10.1364/JOSAA.29.000313</w:t>
      </w:r>
    </w:p>
    <w:p>
      <w:pPr>
        <w:bidi w:val="false"/>
        <w:spacing w:after="110" w:line="300"/>
        <w:ind w:left="400" w:hanging="400"/>
        <w:jc w:val="left"/>
      </w:pPr>
      <w:r>
        <w:rPr>
          <w:rFonts w:ascii="David" w:cs="David" w:eastAsia="David" w:hAnsi="David"/>
          <w:sz w:val="21"/>
          <w:szCs w:val="21"/>
        </w:rPr>
        <w:t xml:space="preserve">Deci, E. L., &amp; Ryan, R. M. (2010). Intrinsic motivation. In I. B. Weiner &amp; W. E. Craighead (Eds.), The Corsini Encyclopedia of Psychology. Wiley. https://doi.org/10.1002/9780470479216.corpsy0467</w:t>
      </w:r>
    </w:p>
    <w:p>
      <w:pPr>
        <w:bidi w:val="false"/>
        <w:spacing w:after="110" w:line="300"/>
        <w:ind w:left="400" w:hanging="400"/>
        <w:jc w:val="left"/>
      </w:pPr>
      <w:r>
        <w:rPr>
          <w:rFonts w:ascii="David" w:cs="David" w:eastAsia="David" w:hAnsi="David"/>
          <w:sz w:val="21"/>
          <w:szCs w:val="21"/>
        </w:rPr>
        <w:t xml:space="preserve">De Visscher, A., &amp; Noël, M.-P. (2014). Arithmetic facts storage deficit: The hypersensitivity-to-interference in memory hypothesis. Developmental Science, 17(3), 434–442. https://doi.org/10.1111/desc.12135</w:t>
      </w:r>
    </w:p>
    <w:p>
      <w:pPr>
        <w:bidi w:val="false"/>
        <w:spacing w:after="110" w:line="300"/>
        <w:ind w:left="400" w:hanging="400"/>
        <w:jc w:val="left"/>
      </w:pPr>
      <w:r>
        <w:rPr>
          <w:rFonts w:ascii="David" w:cs="David" w:eastAsia="David" w:hAnsi="David"/>
          <w:sz w:val="21"/>
          <w:szCs w:val="21"/>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400" w:hanging="400"/>
        <w:jc w:val="left"/>
      </w:pPr>
      <w:r>
        <w:rPr>
          <w:rFonts w:ascii="David" w:cs="David" w:eastAsia="David" w:hAnsi="David"/>
          <w:sz w:val="21"/>
          <w:szCs w:val="21"/>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400" w:hanging="400"/>
        <w:jc w:val="left"/>
      </w:pPr>
      <w:r>
        <w:rPr>
          <w:rFonts w:ascii="David" w:cs="David" w:eastAsia="David" w:hAnsi="David"/>
          <w:sz w:val="21"/>
          <w:szCs w:val="21"/>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400" w:hanging="400"/>
        <w:jc w:val="left"/>
      </w:pPr>
      <w:r>
        <w:rPr>
          <w:rFonts w:ascii="David" w:cs="David" w:eastAsia="David" w:hAnsi="David"/>
          <w:sz w:val="21"/>
          <w:szCs w:val="21"/>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400" w:hanging="400"/>
        <w:jc w:val="left"/>
      </w:pPr>
      <w:r>
        <w:rPr>
          <w:rFonts w:ascii="David" w:cs="David" w:eastAsia="David" w:hAnsi="David"/>
          <w:sz w:val="21"/>
          <w:szCs w:val="21"/>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400" w:hanging="400"/>
        <w:jc w:val="left"/>
      </w:pPr>
      <w:r>
        <w:rPr>
          <w:rFonts w:ascii="David" w:cs="David" w:eastAsia="David" w:hAnsi="David"/>
          <w:sz w:val="21"/>
          <w:szCs w:val="21"/>
        </w:rPr>
        <w:t xml:space="preserve">Karpicke, J. D., &amp; Roediger, H. L. (2008). The critical importance of retrieval for learning. Science, 319(5865), 966–968. https://doi.org/10.1126/science.1152408</w:t>
      </w:r>
    </w:p>
    <w:p>
      <w:pPr>
        <w:bidi w:val="false"/>
        <w:spacing w:after="110" w:line="300"/>
        <w:ind w:left="400" w:hanging="400"/>
        <w:jc w:val="left"/>
      </w:pPr>
      <w:r>
        <w:rPr>
          <w:rFonts w:ascii="David" w:cs="David" w:eastAsia="David" w:hAnsi="David"/>
          <w:sz w:val="21"/>
          <w:szCs w:val="21"/>
        </w:rPr>
        <w:t xml:space="preserve">Kluger, A. N., &amp; DeNisi, A. (1996). The effects of feedback interventions on performance. Psychological Bulletin, 119(2), 254–284. https://doi.org/10.1037/0033-2909.119.2.254</w:t>
      </w:r>
    </w:p>
    <w:p>
      <w:pPr>
        <w:bidi w:val="false"/>
        <w:spacing w:after="110" w:line="300"/>
        <w:ind w:left="400" w:hanging="400"/>
        <w:jc w:val="left"/>
      </w:pPr>
      <w:r>
        <w:rPr>
          <w:rFonts w:ascii="David" w:cs="David" w:eastAsia="David" w:hAnsi="David"/>
          <w:sz w:val="21"/>
          <w:szCs w:val="21"/>
        </w:rPr>
        <w:t xml:space="preserve">LeFevre, J.-A., Shanahan, T., &amp; DeStefano, D. (2004). The tie effect in simple arithmetic: An access-based account. Memory &amp; Cognition, 32(6), 1019–1031. https://doi.org/10.3758/BF03196878</w:t>
      </w:r>
    </w:p>
    <w:p>
      <w:pPr>
        <w:bidi w:val="false"/>
        <w:spacing w:after="110" w:line="300"/>
        <w:ind w:left="400" w:hanging="400"/>
        <w:jc w:val="left"/>
      </w:pPr>
      <w:r>
        <w:rPr>
          <w:rFonts w:ascii="David" w:cs="David" w:eastAsia="David" w:hAnsi="David"/>
          <w:sz w:val="21"/>
          <w:szCs w:val="21"/>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400" w:hanging="400"/>
        <w:jc w:val="left"/>
      </w:pPr>
      <w:r>
        <w:rPr>
          <w:rFonts w:ascii="David" w:cs="David" w:eastAsia="David" w:hAnsi="David"/>
          <w:sz w:val="21"/>
          <w:szCs w:val="21"/>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400" w:hanging="400"/>
        <w:jc w:val="left"/>
      </w:pPr>
      <w:r>
        <w:rPr>
          <w:rFonts w:ascii="David" w:cs="David" w:eastAsia="David" w:hAnsi="David"/>
          <w:sz w:val="21"/>
          <w:szCs w:val="21"/>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400" w:hanging="400"/>
        <w:jc w:val="left"/>
      </w:pPr>
      <w:r>
        <w:rPr>
          <w:rFonts w:ascii="David" w:cs="David" w:eastAsia="David" w:hAnsi="David"/>
          <w:sz w:val="21"/>
          <w:szCs w:val="21"/>
        </w:rPr>
        <w:t xml:space="preserve">Verguts, T., &amp; Fias, W. (2005). Interacting neighbors: A connectionist model of retrieval in single-digit multiplication. Memory &amp; Cognition, 33(1), 1–16. https://doi.org/10.3758/BF03195293</w:t>
      </w:r>
    </w:p>
    <w:p>
      <w:pPr>
        <w:bidi w:val="false"/>
        <w:spacing w:after="110" w:line="300"/>
        <w:ind w:left="400" w:hanging="400"/>
        <w:jc w:val="left"/>
      </w:pPr>
      <w:r>
        <w:rPr>
          <w:rFonts w:ascii="David" w:cs="David" w:eastAsia="David" w:hAnsi="David"/>
          <w:sz w:val="21"/>
          <w:szCs w:val="21"/>
        </w:rPr>
        <w:t xml:space="preserve">World Wide Web Consortium. (2024). Web Content Accessibility Guidelines (WCAG) 2.2. W3C Recommendation, 12 December 2024. https://www.w3.org/TR/WCAG22/</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2026-09-05T16:35:54.663Z</dcterms:created>
  <dcterms:modified xsi:type="dcterms:W3CDTF">2026-09-05T16:35:54.666Z</dcterms:modified>
</cp:coreProperties>
</file>

<file path=docProps/custom.xml><?xml version="1.0" encoding="utf-8"?>
<Properties xmlns="http://schemas.openxmlformats.org/officeDocument/2006/custom-properties" xmlns:vt="http://schemas.openxmlformats.org/officeDocument/2006/docPropsVTypes"/>
</file>