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uppressLineNumbers/>
        <w:spacing w:after="120" w:before="120" w:line="240" w:lineRule="auto"/>
      </w:pPr>
      <w:r>
        <w:rPr>
          <w:rFonts w:ascii="Calibri Light" w:cs="Calibri Light" w:eastAsia="Calibri Light" w:hAnsi="Calibri Light"/>
          <w:sz w:val="32"/>
          <w:szCs w:val="32"/>
        </w:rPr>
        <w:t xml:space="preserve">Professionell beraten – Beratungsformen, Kompetenzen und Grenzen</w:t>
      </w:r>
    </w:p>
    <w:p>
      <w:pPr>
        <w:suppressLineNumbers/>
        <w:spacing w:after="60" w:before="0" w:line="240" w:lineRule="auto"/>
        <w:jc w:val="left"/>
      </w:pPr>
      <w:r>
        <w:rPr>
          <w:rFonts w:ascii="Calibri" w:cs="Calibri" w:eastAsia="Calibri" w:hAnsi="Calibri"/>
        </w:rPr>
        <w:t xml:space="preserve">Sie kennen inzwischen verschiedene Beratungsansätze und den Beratungsprozess in sechs Phasen. Für die Praxis – und für Prüfungsaufgaben – fehlen noch drei Bausteine: </w:t>
      </w:r>
      <w:r>
        <w:rPr>
          <w:rFonts w:ascii="Calibri" w:cs="Calibri" w:eastAsia="Calibri" w:hAnsi="Calibri"/>
          <w:b/>
          <w:bCs/>
        </w:rPr>
        <w:t xml:space="preserve">Wann</w:t>
      </w:r>
      <w:r>
        <w:rPr>
          <w:rFonts w:ascii="Calibri" w:cs="Calibri" w:eastAsia="Calibri" w:hAnsi="Calibri"/>
        </w:rPr>
        <w:t xml:space="preserve"> wird situativ und wann geplant beraten? </w:t>
      </w:r>
      <w:r>
        <w:rPr>
          <w:rFonts w:ascii="Calibri" w:cs="Calibri" w:eastAsia="Calibri" w:hAnsi="Calibri"/>
          <w:b/>
          <w:bCs/>
        </w:rPr>
        <w:t xml:space="preserve">Welche Kompetenzen</w:t>
      </w:r>
      <w:r>
        <w:rPr>
          <w:rFonts w:ascii="Calibri" w:cs="Calibri" w:eastAsia="Calibri" w:hAnsi="Calibri"/>
        </w:rPr>
        <w:t xml:space="preserve"> braucht eine beratende Pflegefachperson? Und </w:t>
      </w:r>
      <w:r>
        <w:rPr>
          <w:rFonts w:ascii="Calibri" w:cs="Calibri" w:eastAsia="Calibri" w:hAnsi="Calibri"/>
          <w:b/>
          <w:bCs/>
        </w:rPr>
        <w:t xml:space="preserve">wo liegen die Grenzen</w:t>
      </w:r>
      <w:r>
        <w:rPr>
          <w:rFonts w:ascii="Calibri" w:cs="Calibri" w:eastAsia="Calibri" w:hAnsi="Calibri"/>
        </w:rPr>
        <w:t xml:space="preserve"> pflegerischer Beratung? Sie erarbeiten diese Bausteine an einer neuen Fallsituation.</w:t>
      </w:r>
    </w:p>
    <w:p>
      <w:pPr>
        <w:suppressLineNumbers/>
        <w:spacing w:after="120" w:before="0" w:line="240" w:lineRule="auto"/>
        <w:jc w:val="left"/>
      </w:pPr>
      <w:r>
        <w:rPr>
          <w:rFonts w:ascii="Calibri" w:cs="Calibri" w:eastAsia="Calibri" w:hAnsi="Calibri"/>
        </w:rPr>
        <w:t xml:space="preserve">📱 Für </w:t>
      </w:r>
      <w:r>
        <w:rPr>
          <w:rFonts w:ascii="Calibri" w:cs="Calibri" w:eastAsia="Calibri" w:hAnsi="Calibri"/>
          <w:b/>
          <w:bCs/>
        </w:rPr>
        <w:t xml:space="preserve">Arbeitsauftrag 1</w:t>
      </w:r>
      <w:r>
        <w:rPr>
          <w:rFonts w:ascii="Calibri" w:cs="Calibri" w:eastAsia="Calibri" w:hAnsi="Calibri"/>
        </w:rPr>
        <w:t xml:space="preserve"> und </w:t>
      </w:r>
      <w:r>
        <w:rPr>
          <w:rFonts w:ascii="Calibri" w:cs="Calibri" w:eastAsia="Calibri" w:hAnsi="Calibri"/>
          <w:b/>
          <w:bCs/>
        </w:rPr>
        <w:t xml:space="preserve">Arbeitsauftrag 2 a)</w:t>
      </w:r>
      <w:r>
        <w:rPr>
          <w:rFonts w:ascii="Calibri" w:cs="Calibri" w:eastAsia="Calibri" w:hAnsi="Calibri"/>
        </w:rPr>
        <w:t xml:space="preserve"> brauchen Sie Ihr Smartphone.</w:t>
      </w:r>
    </w:p>
    <w:p>
      <w:pPr>
        <w:keepNext/>
        <w:suppressLineNumbers/>
        <w:pBdr>
          <w:top w:val="single" w:color="25434B" w:sz="6" w:space="3"/>
          <w:left w:val="single" w:color="25434B" w:sz="6" w:space="3"/>
          <w:bottom w:val="single" w:color="25434B" w:sz="6" w:space="3"/>
          <w:right w:val="single" w:color="25434B" w:sz="6" w:space="3"/>
        </w:pBdr>
        <w:shd w:fill="25434B" w:color="auto" w:val="clear"/>
        <w:spacing w:after="0" w:before="120" w:line="240" w:lineRule="auto"/>
        <w:ind w:left="113" w:right="113"/>
      </w:pPr>
      <w:r>
        <w:rPr>
          <w:rFonts w:ascii="Calibri" w:cs="Calibri" w:eastAsia="Calibri" w:hAnsi="Calibri"/>
          <w:b/>
          <w:bCs/>
          <w:color w:val="FFFFFF"/>
        </w:rPr>
        <w:t xml:space="preserve">Fallsituation: Familie Brenner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10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Herr Walter Brenner (71 Jahre) lebt mit seiner Frau Ingrid (68 Jahre) in einem Einfamilienhaus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im Kochertal. Seit neun Jahren hat er einen Diabetes mellitus Typ 2. Neben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Metformin-Tabletten bekommt er seit drei Wochen abends ein Langzeitinsulin. Deshalb kommt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Pflegefachfrau Lina vom ambulanten Pflegedienst jeden Abend, misst den Blutzucker und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verabreicht das Insulin. Herr Brenner sagt dazu: „Ach, ich hab doch nur ein bisschen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Alterszucker. Das Spritzen macht ihr ja. Die Zahlen auf dem Pen kann ich sowieso kaum lesen.“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Seine letzte augenärztliche Untersuchung liegt drei Jahre zurück.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10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Letzte Woche hat Herr Brenner drei Stunden im Weinberg seines Schwiegersohns gearbeitet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und dabei das Mittagessen ausgelassen. Plötzlich begann er zu zittern, schwitzte stark und war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„ganz durcheinander“. Seine Frau gab ihm ein Glas Apfelsaft, danach ging es ihm schnell besser.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Den Blutzucker hat niemand gemessen. Herr Brenner meint: „Das war halt die Hitze.“ Im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Oktober möchte er bei der Weinlese helfen: „Das lass ich mir nicht nehmen!“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Heute nimmt Frau Brenner Lina an der Haustür zur Seite und flüstert: „Sagen Sie ihm bitte mal,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dass er keinen Kuchen mehr essen darf! Auf mich hört er ja nicht. Ich kann doch nicht den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ganzen Tag hinter ihm her sein – ich schlafe schon gar nicht mehr richtig.“ Lina hat für den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Einsatz bei Familie Brenner 15 Minuten eingeplant. Danach warten noch fünf weitere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Patientinnen und Patienten auf sie.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  Situativ oder geplant beraten?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86"/>
        <w:gridCol w:w="368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Merkmal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situative Beratung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geplante Beratung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Anlass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ergibt sich spontan aus der Pflegesituation: eine Frage, eine Sorge, eine Beobachtung („Tür-und-Angel-Gespräch“)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ein Beratungsbedarf ist bereits erkannt; das Gespräch wird vereinbart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Zeit und Ort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während oder neben einer Pflegehandlung (z. B. bei der Insulingabe), oft unter Zeitdruck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fester Termin, ruhiger Ort, ausreichend Zeit (z. B. 30 Minuten)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Vorbereitung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kaum möglich – Fachwissen und Gesprächskompetenz müssen „abrufbar“ sein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Informationen sammeln, Ziel und Inhalte planen, Material vorbereiten, ggf. Bezugspersonen einladen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Ablauf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kurz; oft nur Kontakt, Anliegen erkennen, erste Orientierung → bei Bedarf ein geplantes Gespräch anbieten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vollständiger Beratungsprozess in sechs Phasen, Dokumentation, ggf. Folgetermin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Chancen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alltagsnah, nutzt das Vertrauen aus der Pflegebeziehung, niedrige Hemmschwelle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Ruhe für Ziele, Lösungen und Reflexion; alle Beteiligten können teilnehmen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Risiken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Zeitdruck, Störungen, fehlende Privatsphäre, Gefahr „schneller Ratschläge“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wirkt formeller; der Termin muss für alle passen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1: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Situativ oder geplant?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 w:val="false"/>
          <w:trHeight w:val="205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uppressLineNumbers/>
              <w:spacing w:after="30" w:before="0" w:line="240" w:lineRule="auto"/>
              <w:jc w:val="center"/>
            </w:pPr>
            <w:r>
              <w:rPr>
                <w:rFonts w:ascii="Calibri" w:cs="Calibri" w:eastAsia="Calibri" w:hAnsi="Calibri"/>
                <w:color w:val="7F7F7F"/>
                <w:sz w:val="21"/>
                <w:szCs w:val="21"/>
              </w:rP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a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geht’s: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QR-Code mit der Handykamera scannen.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Zehn Situationen aus der Pflege von Familie Brenner zuordnen: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situative,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geplante Beratung. Bei einem Fehler erhalten Sie einen Tipp – versuchen Sie es noch einmal.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Stimmen alle Zuordnungen, erscheint ein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Merksatz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Schreiben Sie ihn unten ab.</w:t>
            </w:r>
          </w:p>
          <w:p>
            <w:pPr>
              <w:suppressLineNumbers/>
              <w:spacing w:after="0" w:before="60" w:line="240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>Kein QR-Scanner? Link im Browser eingeben: klawittersven-arch.github.io/kb2-beratung/aa1.html</w:t>
            </w:r>
          </w:p>
        </w:tc>
      </w:tr>
    </w:tbl>
    <w:p>
      <w:pPr>
        <w:keepNext/>
        <w:suppressLineNumbers/>
        <w:spacing w:after="0" w:before="12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Merksatz</w:t>
      </w:r>
      <w:r>
        <w:rPr>
          <w:rFonts w:ascii="Calibri" w:cs="Calibri" w:eastAsia="Calibri" w:hAnsi="Calibri"/>
        </w:rPr>
        <w:t xml:space="preserve"> (erscheint in der App, wenn alle Zuordnungen stimmen):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  Was braucht eine gute Beraterin, ein guter Berater? – Beratungskompetenz</w:t>
      </w:r>
    </w:p>
    <w:p>
      <w:pPr>
        <w:suppressLineNumbers/>
        <w:spacing w:after="100" w:before="0" w:line="240" w:lineRule="auto"/>
        <w:jc w:val="left"/>
      </w:pPr>
      <w:r>
        <w:rPr>
          <w:rFonts w:ascii="Calibri" w:cs="Calibri" w:eastAsia="Calibri" w:hAnsi="Calibri"/>
        </w:rPr>
        <w:t xml:space="preserve">Beratungskompetenz setzt sich aus vier Bereichen zusammen. Vieles davon kennen Sie bereits – z. B. aus den Wittener Werkzeugen, den Beratungsansätzen und dem Phasenmodell.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Fachkompetenz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Methodenkompetenz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Sozial-kommunikative 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Personale Kompetenz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aktuelles pflegerisches und medizinisches Fachwissen (z. B. Diabetes, Unterzuckerung)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Wissen über Hilfsangebote und Netzwerke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rechtliche Grenzen kennen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Informationen fachlich korrekt und verständlich geben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Beratungsprozess strukturieren (sechs Phasen)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Gesprächstechniken: offene Fragen, aktives Zuhören, Paraphrasieren, Zusammenfassen, Skalierungsfragen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Ziele SMART formulieren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einsetzen, dokumentieren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Beziehung aufbauen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Grundhaltungen nach Rogers: Empathie, Wertschätzung, Kongruenz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 Sichtweisen erfragen, keine Partei ergreifen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 Ambivalenz und Konflikten umgehen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Bezugspersonen einbeziehen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eigene Haltung, Werte und Gefühle reflektieren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eigene Grenzen erkennen und weitervermitteln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Selbstfürsorge („doppelte Fürsorge“)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Verantwortung übernehmen, die eigene Rolle klären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2: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Kompetenzen erkennen</w:t>
      </w:r>
    </w:p>
    <w:p>
      <w:pPr>
        <w:keepNext/>
        <w:suppressLineNumbers/>
        <w:tabs>
          <w:tab w:val="left" w:pos="425"/>
        </w:tabs>
        <w:spacing w:after="8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</w:rPr>
        <w:t xml:space="preserve">Ordnen Sie Linas Verhaltensweisen jeweils einem Kompetenzbereich zu: </w:t>
      </w:r>
      <w:r>
        <w:rPr>
          <w:rFonts w:ascii="Calibri" w:cs="Calibri" w:eastAsia="Calibri" w:hAnsi="Calibri"/>
          <w:b/>
          <w:bCs/>
        </w:rPr>
        <w:t xml:space="preserve">F</w:t>
      </w:r>
      <w:r>
        <w:rPr>
          <w:rFonts w:ascii="Calibri" w:cs="Calibri" w:eastAsia="Calibri" w:hAnsi="Calibri"/>
        </w:rPr>
        <w:t xml:space="preserve"> = Fach-, </w:t>
      </w: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= Methoden-,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= sozial-kommunikative, </w:t>
      </w:r>
      <w:r>
        <w:rPr>
          <w:rFonts w:ascii="Calibri" w:cs="Calibri" w:eastAsia="Calibri" w:hAnsi="Calibri"/>
          <w:b/>
          <w:bCs/>
        </w:rPr>
        <w:t xml:space="preserve">P</w:t>
      </w:r>
      <w:r>
        <w:rPr>
          <w:rFonts w:ascii="Calibri" w:cs="Calibri" w:eastAsia="Calibri" w:hAnsi="Calibri"/>
        </w:rPr>
        <w:t xml:space="preserve"> = personale Kompetenz. 📱 </w:t>
      </w:r>
      <w:r>
        <w:rPr>
          <w:rFonts w:ascii="Calibri" w:cs="Calibri" w:eastAsia="Calibri" w:hAnsi="Calibri"/>
          <w:i/>
          <w:iCs/>
        </w:rPr>
        <w:t xml:space="preserve">(digital)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 w:val="false"/>
          <w:trHeight w:val="205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uppressLineNumbers/>
              <w:spacing w:after="30" w:before="0" w:line="240" w:lineRule="auto"/>
              <w:jc w:val="center"/>
            </w:pPr>
            <w:r>
              <w:rPr>
                <w:rFonts w:ascii="Calibri" w:cs="Calibri" w:eastAsia="Calibri" w:hAnsi="Calibri"/>
                <w:color w:val="7F7F7F"/>
                <w:sz w:val="21"/>
                <w:szCs w:val="21"/>
              </w:rP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a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geht’s: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QR-Code mit der Handykamera scannen.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Acht Verhaltensweisen von Lina zuordnen: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Die Tabelle oben hilft Ihnen – in der App finden Sie sie unter „Hilfe“.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Stimmen alle Zuordnungen, erscheint ein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Merksatz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Schreiben Sie ihn unten ab.</w:t>
            </w:r>
          </w:p>
          <w:p>
            <w:pPr>
              <w:suppressLineNumbers/>
              <w:spacing w:after="0" w:before="60" w:line="240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>Kein QR-Scanner? Link im Browser eingeben: klawittersven-arch.github.io/kb2-beratung/aa2.html</w:t>
            </w:r>
          </w:p>
        </w:tc>
      </w:tr>
    </w:tbl>
    <w:p>
      <w:pPr>
        <w:keepNext/>
        <w:suppressLineNumbers/>
        <w:spacing w:after="0" w:before="12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Merksatz</w:t>
      </w:r>
      <w:r>
        <w:rPr>
          <w:rFonts w:ascii="Calibri" w:cs="Calibri" w:eastAsia="Calibri" w:hAnsi="Calibri"/>
        </w:rPr>
        <w:t xml:space="preserve"> (erscheint in der App, wenn alle Zuordnungen stimmen):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Erläutern Sie</w:t>
      </w:r>
      <w:r>
        <w:rPr>
          <w:rFonts w:ascii="Calibri" w:cs="Calibri" w:eastAsia="Calibri" w:hAnsi="Calibri"/>
        </w:rPr>
        <w:t xml:space="preserve"> an je einem Beispiel aus der Fallsituation, warum Lina im Gespräch mit Familie Brenner besonders </w:t>
      </w:r>
      <w:r>
        <w:rPr>
          <w:rFonts w:ascii="Calibri" w:cs="Calibri" w:eastAsia="Calibri" w:hAnsi="Calibri"/>
          <w:b/>
          <w:bCs/>
        </w:rPr>
        <w:t xml:space="preserve">Fachkompetenz</w:t>
      </w:r>
      <w:r>
        <w:rPr>
          <w:rFonts w:ascii="Calibri" w:cs="Calibri" w:eastAsia="Calibri" w:hAnsi="Calibri"/>
        </w:rPr>
        <w:t xml:space="preserve"> und </w:t>
      </w:r>
      <w:r>
        <w:rPr>
          <w:rFonts w:ascii="Calibri" w:cs="Calibri" w:eastAsia="Calibri" w:hAnsi="Calibri"/>
          <w:b/>
          <w:bCs/>
        </w:rPr>
        <w:t xml:space="preserve">personale Kompetenz</w:t>
      </w:r>
      <w:r>
        <w:rPr>
          <w:rFonts w:ascii="Calibri" w:cs="Calibri" w:eastAsia="Calibri" w:hAnsi="Calibri"/>
        </w:rPr>
        <w:t xml:space="preserve"> braucht.</w:t>
      </w:r>
    </w:p>
    <w:p>
      <w:pPr>
        <w:suppressLineNumbers/>
        <w:spacing w:after="0" w:before="10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Fachkompetenz: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spacing w:after="0" w:before="14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Personale Kompetenz: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  Grenzen pflegerischer Beratung</w:t>
      </w:r>
    </w:p>
    <w:p>
      <w:pPr>
        <w:suppressLineNumbers/>
        <w:spacing w:after="100" w:before="0" w:line="240" w:lineRule="auto"/>
        <w:jc w:val="left"/>
      </w:pPr>
      <w:r>
        <w:rPr>
          <w:rFonts w:ascii="Calibri" w:cs="Calibri" w:eastAsia="Calibri" w:hAnsi="Calibri"/>
        </w:rPr>
        <w:t xml:space="preserve">Beratung kann nicht alles leisten. </w:t>
      </w:r>
      <w:r>
        <w:rPr>
          <w:rFonts w:ascii="Calibri" w:cs="Calibri" w:eastAsia="Calibri" w:hAnsi="Calibri"/>
          <w:b/>
          <w:bCs/>
        </w:rPr>
        <w:t xml:space="preserve">Professionell handelt, wer Grenzen erkennt, offen damit umgeht und bei Bedarf weitervermittelt.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Beispiele für Grenzen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bei der beratenen Person und ihren Bezugspersonen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akute Belastung: Schmerzen, Erschöpfung, Angst, Trauer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eingeschränktes Sehen, Hören, Verstehen oder Erinnern; Sprachbarrieren; geringe Gesundheitskompetenz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subjektive Krankheitsvorstellungen (z. B. „nur ein bisschen Zucker“)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fehlende Veränderungsbereitschaft, Ambivalenz; Gewohnheiten, Werte, Kultur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Konflikte in der Familie; finanzielle und soziale Situation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bei der Pflegefachperson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fachlich: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Spezialwissen fehlt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rechtlich: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Diagnosen stellen und Therapie oder Insulindosis ändern sind ärztliche Aufgaben; Schweigepflicht – Informationen an Angehörige nur mit Einverständnis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persönlich: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eigene Werte, Ärger, Überlastung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Rollenkonflikt: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Beraterin statt „Kontrolleurin“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den Rahmenbedingungen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Zeit (Tourenplan), Personal, Ort und Störungen, fehlende Privatsphäre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wechselnde Ansprechpersonen, begrenzter Leistungsumfang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ethische Grenze: Selbstbestimmung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 beratene Person darf sich – gut informiert – auch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gegen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eine Empfehlung entscheiden. Beratung ist kein Überreden.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Besteht eine Gefahr (z. B. schwere Unterzuckerung), informiert die Pflegefachperson aber klar und verständlich über Risiken und Handlungsmöglichkeiten (Fürsorge).</w:t>
            </w:r>
          </w:p>
        </w:tc>
      </w:tr>
    </w:tbl>
    <w:p>
      <w:pPr>
        <w:suppressLineNumbers/>
        <w:spacing w:after="100" w:before="0" w:line="240" w:lineRule="auto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5434B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  <w:suppressLineNumbers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Merke</w:t>
            </w:r>
          </w:p>
        </w:tc>
      </w:tr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uppressLineNumbers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gehen Sie professionell mit Grenzen um: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Grenze erkennen und offen benennen • Prioritäten setzen (heute nur ein Thema) • ein geplantes Gespräch anbieten • Hilfsmittel nutzen (z. B. Lupe, Bilder, einfache Sprache, Dolmetscherdienst) • Bezugspersonen – mit Einverständnis – einbeziehen • im Team besprechen und dokumentieren • weitervermitteln</w:t>
            </w:r>
          </w:p>
          <w:p>
            <w:pPr>
              <w:suppressLineNumbers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Netzwerk für Menschen mit Diabetes (Beispiele):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Hausarztpraxis bzw. diabetologische Schwerpunktpraxis • Diabetesberater*in DDG • Augenärztin/Augenarzt • Podologie • Ernährungsberatung • strukturierte Schulungsprogramme (Disease-Management-Programm, DMP) • Selbsthilfegruppen (auch für Angehörige) • Pflegestützpunkt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000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3: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Grenzen im Fall erkennen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  <w:b/>
          <w:bCs/>
        </w:rPr>
        <w:t xml:space="preserve">Identifizieren Sie</w:t>
      </w:r>
      <w:r>
        <w:rPr>
          <w:rFonts w:ascii="Calibri" w:cs="Calibri" w:eastAsia="Calibri" w:hAnsi="Calibri"/>
        </w:rPr>
        <w:t xml:space="preserve"> vier Grenzen, auf die Lina bei der Beratung von Familie Brenner stoßen kann. Belegen Sie jede Grenze mit einer Textstelle (Zeilenangabe).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Ordnen Sie</w:t>
      </w:r>
      <w:r>
        <w:rPr>
          <w:rFonts w:ascii="Calibri" w:cs="Calibri" w:eastAsia="Calibri" w:hAnsi="Calibri"/>
        </w:rPr>
        <w:t xml:space="preserve"> jede Grenze einem Bereich </w:t>
      </w:r>
      <w:r>
        <w:rPr>
          <w:rFonts w:ascii="Calibri" w:cs="Calibri" w:eastAsia="Calibri" w:hAnsi="Calibri"/>
          <w:b/>
          <w:bCs/>
        </w:rPr>
        <w:t xml:space="preserve">zu</w:t>
      </w:r>
      <w:r>
        <w:rPr>
          <w:rFonts w:ascii="Calibri" w:cs="Calibri" w:eastAsia="Calibri" w:hAnsi="Calibri"/>
        </w:rPr>
        <w:t xml:space="preserve"> (Person/Bezugsperson – Pflegefachperson – Rahmenbedingungen – Ethik).</w:t>
      </w:r>
    </w:p>
    <w:p>
      <w:pPr>
        <w:keepNext/>
        <w:suppressLineNumbers/>
        <w:tabs>
          <w:tab w:val="left" w:pos="425"/>
        </w:tabs>
        <w:spacing w:after="10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c)	</w:t>
      </w:r>
      <w:r>
        <w:rPr>
          <w:rFonts w:ascii="Calibri" w:cs="Calibri" w:eastAsia="Calibri" w:hAnsi="Calibri"/>
          <w:b/>
          <w:bCs/>
        </w:rPr>
        <w:t xml:space="preserve">Leiten Sie</w:t>
      </w:r>
      <w:r>
        <w:rPr>
          <w:rFonts w:ascii="Calibri" w:cs="Calibri" w:eastAsia="Calibri" w:hAnsi="Calibri"/>
        </w:rPr>
        <w:t xml:space="preserve"> für jede Grenze einen professionellen Umgang </w:t>
      </w:r>
      <w:r>
        <w:rPr>
          <w:rFonts w:ascii="Calibri" w:cs="Calibri" w:eastAsia="Calibri" w:hAnsi="Calibri"/>
          <w:b/>
          <w:bCs/>
        </w:rPr>
        <w:t xml:space="preserve">ab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4022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a) Grenze (Textstelle)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b) Bereich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c) Professioneller Umgang</w:t>
            </w: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4: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Beraten statt belehren – Bezugspersonen einbeziehen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5434B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  <w:suppressLineNumbers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Bezugspersonen in die Beratung einbeziehen</w:t>
            </w:r>
          </w:p>
        </w:tc>
      </w:tr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</w:rPr>
              <w:t xml:space="preserve">Angehörige sind eine wichtige Unterstützung – und haben oft eigene Sorgen und Beratungsbedarfe.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nur mit Einverständnis der beratenen Person einbeziehen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gemeinsam sprechen, nicht „über den Kopf hinweg“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alle Sichtweisen erfragen, keine Partei ergreifen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die Entscheidung bleibt bei der beratenen Person</w:t>
            </w:r>
          </w:p>
          <w:p>
            <w:pPr>
              <w:suppressLineNumbers/>
              <w:tabs>
                <w:tab w:val="left" w:pos="284"/>
              </w:tabs>
              <w:spacing w:after="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Belastung der Angehörigen wahrnehmen und Unterstützung anbieten</w:t>
            </w:r>
          </w:p>
        </w:tc>
      </w:tr>
    </w:tbl>
    <w:p>
      <w:pPr>
        <w:suppressLineNumbers/>
        <w:spacing w:after="60" w:before="140" w:line="240" w:lineRule="auto"/>
        <w:jc w:val="left"/>
      </w:pPr>
      <w:r>
        <w:rPr>
          <w:rFonts w:ascii="Calibri" w:cs="Calibri" w:eastAsia="Calibri" w:hAnsi="Calibri"/>
          <w:i/>
          <w:iCs/>
        </w:rPr>
        <w:t xml:space="preserve">Frau Brenner bittet Lina: „Sagen Sie ihm bitte mal, dass er keinen Kuchen mehr essen darf!“ (Z. 13 f.)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  <w:b/>
          <w:bCs/>
        </w:rPr>
        <w:t xml:space="preserve">Beurteilen Sie</w:t>
      </w:r>
      <w:r>
        <w:rPr>
          <w:rFonts w:ascii="Calibri" w:cs="Calibri" w:eastAsia="Calibri" w:hAnsi="Calibri"/>
        </w:rPr>
        <w:t xml:space="preserve">, ob Lina dieser Bitte nachkommen sollte. Begründen Sie Ihr Urteil mit zwei Argumenten.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Begründen Sie</w:t>
      </w:r>
      <w:r>
        <w:rPr>
          <w:rFonts w:ascii="Calibri" w:cs="Calibri" w:eastAsia="Calibri" w:hAnsi="Calibri"/>
        </w:rPr>
        <w:t xml:space="preserve">, warum Lina das Anliegen besser in einem geplanten Gespräch bespricht als an der Haustür.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c)	</w:t>
      </w:r>
      <w:r>
        <w:rPr>
          <w:rFonts w:ascii="Calibri" w:cs="Calibri" w:eastAsia="Calibri" w:hAnsi="Calibri"/>
          <w:b/>
          <w:bCs/>
        </w:rPr>
        <w:t xml:space="preserve">Formulieren Sie</w:t>
      </w:r>
      <w:r>
        <w:rPr>
          <w:rFonts w:ascii="Calibri" w:cs="Calibri" w:eastAsia="Calibri" w:hAnsi="Calibri"/>
        </w:rPr>
        <w:t xml:space="preserve"> eine Antwort, die Lina Frau Brenner an der Haustür geben könnte.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spacing w:after="0" w:before="0" w:line="240" w:lineRule="auto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417" w:bottom="1077" w:left="1417" w:header="340" w:footer="454" w:gutter="0"/>
      <w:lnNumType w:countBy="5" w:restart="continuous" w:distance="30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uppressLineNumbers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29"/>
      <w:gridCol w:w="3005"/>
      <w:gridCol w:w="2438"/>
    </w:tblGrid>
    <w:tr>
      <w:trPr>
        <w:trHeight w:val="380" w:hRule="atLeast"/>
      </w:trPr>
      <w:tc>
        <w:tcPr>
          <w:tcW w:type="dxa" w:w="362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40"/>
            <w:left w:type="dxa" w:w="100"/>
            <w:bottom w:type="dxa" w:w="40"/>
            <w:right w:type="dxa" w:w="60"/>
          </w:tcMar>
          <w:vAlign w:val="center"/>
        </w:tcPr>
        <w:p>
          <w:pPr>
            <w:suppressLineNumbers/>
            <w:spacing w:after="20" w:before="20" w:line="240" w:lineRule="auto"/>
          </w:pPr>
          <w:r>
            <w:drawing>
              <wp:inline distT="0" distB="0" distL="0" distR="0">
                <wp:extent cx="15240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Name:</w:t>
          </w:r>
        </w:p>
      </w:tc>
      <w:tc>
        <w:tcPr>
          <w:tcW w:type="dxa" w:w="243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Datum:</w:t>
          </w:r>
        </w:p>
      </w:tc>
    </w:tr>
    <w:tr>
      <w:trPr>
        <w:trHeight w:val="3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443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Klasse| Fach | Lehrer*in: 3BFP2 | KB II | Kl</w:t>
          </w:r>
        </w:p>
      </w:tc>
    </w:tr>
    <w:tr>
      <w:trPr>
        <w:trHeight w:val="3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443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/>
              <w:bCs/>
              <w:sz w:val="16"/>
              <w:szCs w:val="16"/>
            </w:rPr>
            <w:t xml:space="preserve">Themenblock I</w:t>
          </w:r>
        </w:p>
      </w:tc>
    </w:tr>
  </w:tbl>
  <w:p>
    <w:pPr>
      <w:suppressLineNumbers/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f12ac1379f8f43e2b588305b99c608597a2e413.png"/><Relationship Id="rId12" Type="http://schemas.openxmlformats.org/officeDocument/2006/relationships/image" Target="media/8cde160e113416d4153fa7be1c9df95fa22a73b9.png"/><Relationship Id="rId13" Type="http://schemas.openxmlformats.org/officeDocument/2006/relationships/image" Target="media/5773cc1929191aac47ebbd6a737ae2ae60ce03be.png"/><Relationship Id="rId14" Type="http://schemas.openxmlformats.org/officeDocument/2006/relationships/fontTable" Target="fontTable.xml"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ab96b405e5378559895428f41b72596703cade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Professionell beraten – Beratungsformen, Kompetenzen und Grenzen</dc:title>
  <dc:creator>S. Klawitter</dc:creator>
  <dc:description>KB II – Beratung (3BFP2)</dc:description>
  <cp:lastModifiedBy>Un-named</cp:lastModifiedBy>
  <cp:revision>1</cp:revision>
  <dcterms:created xsi:type="dcterms:W3CDTF">2026-10-09T15:15:33.435Z</dcterms:created>
  <dcterms:modified xsi:type="dcterms:W3CDTF">2026-10-09T15:15:33.444Z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