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98"/>
        <w:gridCol w:w="3260"/>
        <w:gridCol w:w="5482"/>
      </w:tblGrid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A</w:t>
            </w:r>
          </w:p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1.2</w:t>
            </w: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Net Working Capital (NWC) to Total Assets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00/1,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000 = 0.1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x 1.2 =</w:t>
            </w:r>
            <w:r w:rsidRPr="007468AE">
              <w:rPr>
                <w:rFonts w:ascii="Verdana" w:hAnsi="Verdana"/>
                <w:sz w:val="18"/>
                <w:szCs w:val="18"/>
                <w:u w:val="none"/>
                <w:lang w:val="en-IN"/>
              </w:rPr>
              <w:t>0.</w:t>
            </w:r>
            <w:r>
              <w:rPr>
                <w:rFonts w:ascii="Verdana" w:hAnsi="Verdana"/>
                <w:sz w:val="18"/>
                <w:szCs w:val="18"/>
                <w:u w:val="none"/>
                <w:lang w:val="en-IN"/>
              </w:rPr>
              <w:t>12</w:t>
            </w:r>
          </w:p>
        </w:tc>
      </w:tr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NWC = Current Assets – Current Liabilities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Rs</w:t>
            </w:r>
            <w:proofErr w:type="spell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.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300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minus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Rs</w:t>
            </w:r>
            <w:proofErr w:type="spell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.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00 =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Rs</w:t>
            </w:r>
            <w:proofErr w:type="spell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.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00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cr</w:t>
            </w:r>
            <w:proofErr w:type="spellEnd"/>
          </w:p>
        </w:tc>
      </w:tr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B</w:t>
            </w:r>
          </w:p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1.4</w:t>
            </w: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Retained Earnings to Total Assets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00/1,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000 = 0.2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x 1.4 =</w:t>
            </w:r>
            <w:r w:rsidRPr="007468AE">
              <w:rPr>
                <w:rFonts w:ascii="Verdana" w:hAnsi="Verdana"/>
                <w:sz w:val="18"/>
                <w:szCs w:val="18"/>
                <w:u w:val="none"/>
                <w:lang w:val="en-IN"/>
              </w:rPr>
              <w:t>0.</w:t>
            </w:r>
            <w:r>
              <w:rPr>
                <w:rFonts w:ascii="Verdana" w:hAnsi="Verdana"/>
                <w:sz w:val="18"/>
                <w:szCs w:val="18"/>
                <w:u w:val="none"/>
                <w:lang w:val="en-IN"/>
              </w:rPr>
              <w:t>28</w:t>
            </w:r>
          </w:p>
        </w:tc>
      </w:tr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C</w:t>
            </w:r>
          </w:p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3.3</w:t>
            </w: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Earnings </w:t>
            </w:r>
            <w:proofErr w:type="gram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Before</w:t>
            </w:r>
            <w:proofErr w:type="gram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Interest &amp; Taxes to Total Assets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0/1,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000 = 0.12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X 3.3 =</w:t>
            </w:r>
            <w:r w:rsidRPr="007468AE">
              <w:rPr>
                <w:rFonts w:ascii="Verdana" w:hAnsi="Verdana"/>
                <w:sz w:val="18"/>
                <w:szCs w:val="18"/>
                <w:u w:val="none"/>
                <w:lang w:val="en-IN"/>
              </w:rPr>
              <w:t>0.</w:t>
            </w:r>
            <w:r>
              <w:rPr>
                <w:rFonts w:ascii="Verdana" w:hAnsi="Verdana"/>
                <w:sz w:val="18"/>
                <w:szCs w:val="18"/>
                <w:u w:val="none"/>
                <w:lang w:val="en-IN"/>
              </w:rPr>
              <w:t>396</w:t>
            </w:r>
          </w:p>
        </w:tc>
      </w:tr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D</w:t>
            </w:r>
          </w:p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0.6</w:t>
            </w: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Market Value of Equity (MVE) to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Long-Term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Liabilities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MVE =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5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0 lakhs share x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Rs</w:t>
            </w:r>
            <w:proofErr w:type="spell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.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250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=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Rs</w:t>
            </w:r>
            <w:proofErr w:type="spellEnd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.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125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</w:t>
            </w:r>
            <w:proofErr w:type="spellStart"/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cr</w:t>
            </w:r>
            <w:proofErr w:type="spellEnd"/>
          </w:p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125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/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500 = 0.25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x 0.6 =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0.</w:t>
            </w:r>
            <w:r>
              <w:rPr>
                <w:rFonts w:ascii="Verdana" w:hAnsi="Verdana"/>
                <w:sz w:val="18"/>
                <w:szCs w:val="18"/>
                <w:u w:val="none"/>
                <w:lang w:val="en-IN"/>
              </w:rPr>
              <w:t>15</w:t>
            </w:r>
          </w:p>
        </w:tc>
      </w:tr>
      <w:tr w:rsidR="00ED227E" w:rsidRPr="000C60CE" w:rsidTr="006B37A4">
        <w:tc>
          <w:tcPr>
            <w:tcW w:w="798" w:type="dxa"/>
          </w:tcPr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E</w:t>
            </w:r>
          </w:p>
          <w:p w:rsidR="00ED227E" w:rsidRPr="006B37A4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sz w:val="16"/>
                <w:szCs w:val="18"/>
                <w:u w:val="none"/>
                <w:lang w:val="en-IN"/>
              </w:rPr>
            </w:pPr>
            <w:r w:rsidRPr="006B37A4">
              <w:rPr>
                <w:rFonts w:ascii="Verdana" w:hAnsi="Verdana"/>
                <w:sz w:val="16"/>
                <w:szCs w:val="18"/>
                <w:u w:val="none"/>
                <w:lang w:val="en-IN"/>
              </w:rPr>
              <w:t>1.0</w:t>
            </w: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Sales to Total Assets</w:t>
            </w:r>
          </w:p>
        </w:tc>
        <w:tc>
          <w:tcPr>
            <w:tcW w:w="5482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8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00/1,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00 =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0.8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x 1 = </w:t>
            </w:r>
            <w:r>
              <w:rPr>
                <w:rFonts w:ascii="Verdana" w:hAnsi="Verdana"/>
                <w:sz w:val="18"/>
                <w:szCs w:val="18"/>
                <w:u w:val="none"/>
                <w:lang w:val="en-IN"/>
              </w:rPr>
              <w:t>0.8</w:t>
            </w:r>
          </w:p>
        </w:tc>
      </w:tr>
      <w:tr w:rsidR="00ED227E" w:rsidRPr="007468AE" w:rsidTr="006B37A4">
        <w:tc>
          <w:tcPr>
            <w:tcW w:w="798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</w:p>
        </w:tc>
        <w:tc>
          <w:tcPr>
            <w:tcW w:w="3260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Z score (A + B+ C + D + E)</w:t>
            </w:r>
          </w:p>
        </w:tc>
        <w:tc>
          <w:tcPr>
            <w:tcW w:w="5482" w:type="dxa"/>
          </w:tcPr>
          <w:p w:rsidR="00ED227E" w:rsidRPr="007468A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948A54" w:themeColor="background2" w:themeShade="80"/>
                <w:sz w:val="18"/>
                <w:szCs w:val="18"/>
                <w:u w:val="none"/>
                <w:lang w:val="en-IN"/>
              </w:rPr>
            </w:pP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(0.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12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+ 0.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28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+ 0.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396 + 0.15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+ </w:t>
            </w:r>
            <w:r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>0.8)</w:t>
            </w:r>
            <w:r w:rsidRPr="000C60CE"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  <w:t xml:space="preserve"> = </w:t>
            </w:r>
            <w:r w:rsidRPr="00350519"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  <w:u w:val="none"/>
                <w:lang w:val="en-IN"/>
              </w:rPr>
              <w:t>1</w:t>
            </w:r>
            <w:r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  <w:u w:val="none"/>
                <w:lang w:val="en-IN"/>
              </w:rPr>
              <w:t>.746</w:t>
            </w:r>
            <w:r w:rsidRPr="00350519"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  <w:u w:val="none"/>
                <w:lang w:val="en-IN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  <w:u w:val="none"/>
                <w:lang w:val="en-IN"/>
              </w:rPr>
              <w:t>comes under potential bankruptcy list</w:t>
            </w:r>
          </w:p>
        </w:tc>
      </w:tr>
      <w:tr w:rsidR="00ED227E" w:rsidRPr="000C60CE" w:rsidTr="006B37A4">
        <w:tc>
          <w:tcPr>
            <w:tcW w:w="798" w:type="dxa"/>
          </w:tcPr>
          <w:p w:rsidR="00ED227E" w:rsidRPr="000C60CE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</w:p>
        </w:tc>
        <w:tc>
          <w:tcPr>
            <w:tcW w:w="8742" w:type="dxa"/>
            <w:gridSpan w:val="2"/>
          </w:tcPr>
          <w:p w:rsidR="00ED227E" w:rsidRPr="00B42F65" w:rsidRDefault="00ED227E" w:rsidP="00C82346">
            <w:pPr>
              <w:pStyle w:val="Title"/>
              <w:tabs>
                <w:tab w:val="left" w:pos="7513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sz w:val="18"/>
                <w:szCs w:val="18"/>
                <w:u w:val="none"/>
                <w:lang w:val="en-IN"/>
              </w:rPr>
            </w:pPr>
          </w:p>
        </w:tc>
      </w:tr>
    </w:tbl>
    <w:p w:rsidR="00ED227E" w:rsidRDefault="00ED227E" w:rsidP="00ED227E">
      <w:pPr>
        <w:rPr>
          <w:b/>
          <w:sz w:val="28"/>
          <w:szCs w:val="28"/>
        </w:rPr>
      </w:pPr>
      <w:bookmarkStart w:id="0" w:name="_GoBack"/>
      <w:bookmarkEnd w:id="0"/>
    </w:p>
    <w:p w:rsidR="006B37A4" w:rsidRPr="004D4C1A" w:rsidRDefault="006B37A4" w:rsidP="006B37A4">
      <w:pPr>
        <w:tabs>
          <w:tab w:val="left" w:pos="630"/>
        </w:tabs>
        <w:ind w:hanging="630"/>
        <w:rPr>
          <w:b/>
          <w:sz w:val="28"/>
          <w:szCs w:val="28"/>
        </w:rPr>
      </w:pPr>
      <w:r>
        <w:rPr>
          <w:rFonts w:ascii="Verdana" w:hAnsi="Verdana"/>
          <w:sz w:val="18"/>
          <w:szCs w:val="18"/>
        </w:rPr>
        <w:t>Since the Z score is 1.746 and falls below 1.8, this entity comes under “red zone</w:t>
      </w:r>
      <w:r w:rsidRPr="000C60CE">
        <w:rPr>
          <w:rFonts w:ascii="Verdana" w:hAnsi="Verdana"/>
          <w:sz w:val="18"/>
          <w:szCs w:val="18"/>
        </w:rPr>
        <w:t>.” Bank can</w:t>
      </w:r>
      <w:r>
        <w:rPr>
          <w:rFonts w:ascii="Verdana" w:hAnsi="Verdana"/>
          <w:sz w:val="18"/>
          <w:szCs w:val="18"/>
        </w:rPr>
        <w:t>not</w:t>
      </w:r>
      <w:r w:rsidRPr="000C60CE">
        <w:rPr>
          <w:rFonts w:ascii="Verdana" w:hAnsi="Verdana"/>
          <w:sz w:val="18"/>
          <w:szCs w:val="18"/>
        </w:rPr>
        <w:t xml:space="preserve"> consid</w:t>
      </w:r>
      <w:r>
        <w:rPr>
          <w:rFonts w:ascii="Verdana" w:hAnsi="Verdana"/>
          <w:sz w:val="18"/>
          <w:szCs w:val="18"/>
        </w:rPr>
        <w:t>er credit facilities as</w:t>
      </w:r>
      <w:r w:rsidRPr="00035D0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it indicates that company</w:t>
      </w:r>
      <w:r w:rsidRPr="00035D07">
        <w:rPr>
          <w:rFonts w:ascii="Verdana" w:hAnsi="Verdana"/>
          <w:sz w:val="18"/>
          <w:szCs w:val="18"/>
        </w:rPr>
        <w:t xml:space="preserve"> is headed for bankruptcy depicted by red area</w:t>
      </w:r>
      <w:r>
        <w:rPr>
          <w:rFonts w:ascii="Verdana" w:hAnsi="Verdana"/>
          <w:sz w:val="18"/>
          <w:szCs w:val="18"/>
        </w:rPr>
        <w:t>.</w:t>
      </w:r>
    </w:p>
    <w:p w:rsidR="00ED227E" w:rsidRPr="004D4C1A" w:rsidRDefault="00ED227E" w:rsidP="00ED227E">
      <w:pPr>
        <w:rPr>
          <w:b/>
          <w:sz w:val="28"/>
          <w:szCs w:val="28"/>
        </w:rPr>
      </w:pPr>
    </w:p>
    <w:p w:rsidR="00B41621" w:rsidRDefault="00B41621"/>
    <w:sectPr w:rsidR="00B4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zIFksaWRubGlko6SsGpxcWZ+XkgBYa1AKgi3KksAAAA"/>
  </w:docVars>
  <w:rsids>
    <w:rsidRoot w:val="00ED227E"/>
    <w:rsid w:val="006B37A4"/>
    <w:rsid w:val="008D1DA2"/>
    <w:rsid w:val="00B41621"/>
    <w:rsid w:val="00E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F71"/>
  <w15:docId w15:val="{3785D308-9B72-45AE-A756-480304F0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ED227E"/>
    <w:pPr>
      <w:spacing w:after="0" w:line="240" w:lineRule="auto"/>
      <w:jc w:val="center"/>
    </w:pPr>
    <w:rPr>
      <w:rFonts w:ascii="Baskerville" w:eastAsia="Times New Roman" w:hAnsi="Baskerville" w:cs="Times New Roman"/>
      <w:b/>
      <w:bCs/>
      <w:sz w:val="24"/>
      <w:szCs w:val="24"/>
      <w:u w:val="single"/>
      <w:lang w:val="en-AU"/>
    </w:rPr>
  </w:style>
  <w:style w:type="character" w:customStyle="1" w:styleId="TitleChar">
    <w:name w:val="Title Char"/>
    <w:basedOn w:val="DefaultParagraphFont"/>
    <w:link w:val="Title"/>
    <w:rsid w:val="00ED227E"/>
    <w:rPr>
      <w:rFonts w:ascii="Baskerville" w:eastAsia="Times New Roman" w:hAnsi="Baskerville" w:cs="Times New Roman"/>
      <w:b/>
      <w:bCs/>
      <w:sz w:val="24"/>
      <w:szCs w:val="24"/>
      <w:u w:val="sing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Laxman Babu</dc:creator>
  <cp:lastModifiedBy>k, Laxman</cp:lastModifiedBy>
  <cp:revision>2</cp:revision>
  <dcterms:created xsi:type="dcterms:W3CDTF">2021-04-30T16:11:00Z</dcterms:created>
  <dcterms:modified xsi:type="dcterms:W3CDTF">2021-04-30T16:11:00Z</dcterms:modified>
</cp:coreProperties>
</file>